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beforeAutospacing="0" w:afterLines="0" w:afterAutospacing="0"/>
        <w:jc w:val="center"/>
        <w:outlineLvl w:val="0"/>
        <w:rPr>
          <w:rFonts w:hint="default" w:hAnsi="宋体" w:eastAsia="宋体"/>
          <w:b/>
          <w:color w:val="auto"/>
          <w:sz w:val="21"/>
          <w:szCs w:val="21"/>
          <w:lang w:val="en-US" w:eastAsia="zh-CN"/>
        </w:rPr>
      </w:pPr>
    </w:p>
    <w:p>
      <w:pPr>
        <w:pStyle w:val="3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sz w:val="20"/>
          <w:szCs w:val="28"/>
        </w:rPr>
      </w:pPr>
      <w:bookmarkStart w:id="0" w:name="_Toc12664"/>
      <w:bookmarkEnd w:id="0"/>
      <w:bookmarkStart w:id="1" w:name="_Toc19404"/>
      <w:bookmarkEnd w:id="1"/>
      <w:r>
        <w:rPr>
          <w:rFonts w:hint="eastAsia" w:ascii="宋体" w:hAnsi="宋体" w:cs="宋体"/>
          <w:b/>
          <w:bCs/>
          <w:sz w:val="52"/>
          <w:szCs w:val="52"/>
          <w:u w:val="none"/>
          <w:lang w:val="en-US" w:eastAsia="zh-CN"/>
        </w:rPr>
        <w:t>2022年息县义务教育薄弱环节改善与能力提升项目仪器设备采购项目（第二批）</w:t>
      </w:r>
    </w:p>
    <w:p>
      <w:pPr>
        <w:pStyle w:val="32"/>
        <w:rPr>
          <w:rFonts w:hint="eastAsia"/>
        </w:rPr>
      </w:pPr>
    </w:p>
    <w:p>
      <w:pPr>
        <w:pStyle w:val="35"/>
        <w:rPr>
          <w:rFonts w:hint="eastAsia"/>
        </w:rPr>
      </w:pPr>
    </w:p>
    <w:p>
      <w:pPr>
        <w:bidi w:val="0"/>
        <w:jc w:val="center"/>
        <w:rPr>
          <w:rFonts w:hint="eastAsia"/>
          <w:b/>
          <w:bCs/>
          <w:sz w:val="96"/>
          <w:szCs w:val="160"/>
        </w:rPr>
      </w:pPr>
      <w:bookmarkStart w:id="2" w:name="_Toc24908"/>
      <w:bookmarkEnd w:id="2"/>
      <w:bookmarkStart w:id="3" w:name="_Toc19517"/>
      <w:bookmarkEnd w:id="3"/>
      <w:bookmarkStart w:id="4" w:name="_Toc30949"/>
      <w:r>
        <w:rPr>
          <w:rFonts w:hint="eastAsia"/>
          <w:b/>
          <w:bCs/>
          <w:sz w:val="96"/>
          <w:szCs w:val="160"/>
        </w:rPr>
        <w:t>招标文件</w:t>
      </w:r>
      <w:bookmarkEnd w:id="4"/>
    </w:p>
    <w:p>
      <w:pPr>
        <w:spacing w:beforeLines="0" w:beforeAutospacing="0" w:afterLines="0" w:afterAutospacing="0"/>
        <w:jc w:val="center"/>
        <w:outlineLvl w:val="0"/>
        <w:rPr>
          <w:rFonts w:hint="eastAsia" w:ascii="宋体" w:hAnsi="宋体" w:eastAsia="宋体" w:cs="宋体"/>
          <w:color w:val="auto"/>
          <w:sz w:val="32"/>
          <w:szCs w:val="24"/>
        </w:rPr>
      </w:pPr>
    </w:p>
    <w:p>
      <w:pPr>
        <w:spacing w:beforeLines="0" w:beforeAutospacing="0" w:afterLines="0" w:afterAutospacing="0"/>
        <w:jc w:val="center"/>
        <w:rPr>
          <w:rFonts w:hint="eastAsia" w:hAnsi="宋体" w:eastAsia="宋体"/>
          <w:color w:val="auto"/>
          <w:sz w:val="21"/>
          <w:highlight w:val="none"/>
          <w:lang w:val="en-US" w:eastAsia="zh-CN"/>
        </w:rPr>
      </w:pPr>
      <w:bookmarkStart w:id="5" w:name="_Toc1665"/>
      <w:bookmarkEnd w:id="5"/>
      <w:bookmarkStart w:id="6" w:name="_Toc26414"/>
      <w:bookmarkEnd w:id="6"/>
      <w:r>
        <w:rPr>
          <w:rFonts w:hint="eastAsia" w:ascii="宋体" w:hAnsi="宋体" w:eastAsia="宋体" w:cs="宋体"/>
          <w:b/>
          <w:bCs/>
          <w:color w:val="auto"/>
          <w:sz w:val="32"/>
          <w:szCs w:val="24"/>
          <w:highlight w:val="none"/>
        </w:rPr>
        <w:t>采购编号：息财公开-2023-0</w:t>
      </w:r>
      <w:r>
        <w:rPr>
          <w:rFonts w:hint="eastAsia" w:ascii="宋体" w:hAnsi="宋体" w:cs="宋体"/>
          <w:b/>
          <w:bCs/>
          <w:color w:val="auto"/>
          <w:sz w:val="32"/>
          <w:szCs w:val="24"/>
          <w:highlight w:val="none"/>
          <w:lang w:val="en-US" w:eastAsia="zh-CN"/>
        </w:rPr>
        <w:t>3</w:t>
      </w:r>
      <w:r>
        <w:rPr>
          <w:rFonts w:hint="eastAsia" w:ascii="宋体" w:hAnsi="宋体" w:eastAsia="宋体" w:cs="宋体"/>
          <w:b/>
          <w:bCs/>
          <w:color w:val="auto"/>
          <w:sz w:val="32"/>
          <w:szCs w:val="24"/>
          <w:highlight w:val="none"/>
        </w:rPr>
        <w:t>-</w:t>
      </w:r>
      <w:r>
        <w:rPr>
          <w:rFonts w:hint="eastAsia" w:ascii="宋体" w:hAnsi="宋体" w:cs="宋体"/>
          <w:b/>
          <w:bCs/>
          <w:color w:val="auto"/>
          <w:sz w:val="32"/>
          <w:szCs w:val="24"/>
          <w:highlight w:val="none"/>
          <w:lang w:val="en-US" w:eastAsia="zh-CN"/>
        </w:rPr>
        <w:t>6</w:t>
      </w:r>
    </w:p>
    <w:p>
      <w:pPr>
        <w:spacing w:beforeLines="0" w:beforeAutospacing="0" w:afterLines="0" w:afterAutospacing="0"/>
        <w:jc w:val="center"/>
        <w:rPr>
          <w:rFonts w:hint="eastAsia" w:hAnsi="宋体" w:eastAsia="宋体"/>
          <w:b/>
          <w:color w:val="auto"/>
          <w:sz w:val="30"/>
          <w:lang w:eastAsia="zh-CN"/>
        </w:rPr>
      </w:pPr>
      <w:r>
        <w:rPr>
          <w:rFonts w:hint="eastAsia" w:ascii="宋体" w:hAnsi="宋体" w:eastAsia="宋体" w:cs="宋体"/>
          <w:b/>
          <w:bCs/>
          <w:color w:val="auto"/>
          <w:sz w:val="72"/>
          <w:szCs w:val="72"/>
          <w:highlight w:val="none"/>
          <w:lang w:eastAsia="zh-CN"/>
        </w:rPr>
        <w:drawing>
          <wp:anchor distT="0" distB="0" distL="114300" distR="114300" simplePos="0" relativeHeight="251660288" behindDoc="0" locked="0" layoutInCell="1" allowOverlap="1">
            <wp:simplePos x="0" y="0"/>
            <wp:positionH relativeFrom="column">
              <wp:posOffset>1864995</wp:posOffset>
            </wp:positionH>
            <wp:positionV relativeFrom="paragraph">
              <wp:posOffset>318770</wp:posOffset>
            </wp:positionV>
            <wp:extent cx="1932940" cy="2004060"/>
            <wp:effectExtent l="0" t="0" r="10160" b="15240"/>
            <wp:wrapSquare wrapText="bothSides"/>
            <wp:docPr id="4" name="图片 1" descr="3ecd7a28d4aed62d0745fcc2f5a1a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3ecd7a28d4aed62d0745fcc2f5a1acf"/>
                    <pic:cNvPicPr>
                      <a:picLocks noChangeAspect="1"/>
                    </pic:cNvPicPr>
                  </pic:nvPicPr>
                  <pic:blipFill>
                    <a:blip r:embed="rId12"/>
                    <a:srcRect l="21776" t="22713" r="24379" b="21460"/>
                    <a:stretch>
                      <a:fillRect/>
                    </a:stretch>
                  </pic:blipFill>
                  <pic:spPr>
                    <a:xfrm>
                      <a:off x="0" y="0"/>
                      <a:ext cx="1932940" cy="2004060"/>
                    </a:xfrm>
                    <a:prstGeom prst="rect">
                      <a:avLst/>
                    </a:prstGeom>
                    <a:noFill/>
                    <a:ln>
                      <a:noFill/>
                    </a:ln>
                  </pic:spPr>
                </pic:pic>
              </a:graphicData>
            </a:graphic>
          </wp:anchor>
        </w:drawing>
      </w:r>
    </w:p>
    <w:p>
      <w:pPr>
        <w:keepNext w:val="0"/>
        <w:keepLines w:val="0"/>
        <w:pageBreakBefore w:val="0"/>
        <w:widowControl w:val="0"/>
        <w:kinsoku/>
        <w:overflowPunct/>
        <w:topLinePunct w:val="0"/>
        <w:bidi w:val="0"/>
        <w:adjustRightInd/>
        <w:spacing w:beforeAutospacing="0" w:afterAutospacing="0" w:line="1000" w:lineRule="exact"/>
        <w:ind w:firstLine="540" w:firstLineChars="192"/>
        <w:jc w:val="left"/>
        <w:textAlignment w:val="auto"/>
        <w:rPr>
          <w:rFonts w:hint="eastAsia" w:ascii="宋体" w:hAnsi="宋体"/>
          <w:b/>
          <w:bCs/>
          <w:color w:val="auto"/>
          <w:sz w:val="28"/>
        </w:rPr>
      </w:pPr>
    </w:p>
    <w:p>
      <w:pPr>
        <w:keepNext w:val="0"/>
        <w:keepLines w:val="0"/>
        <w:pageBreakBefore w:val="0"/>
        <w:widowControl w:val="0"/>
        <w:kinsoku/>
        <w:overflowPunct/>
        <w:topLinePunct w:val="0"/>
        <w:bidi w:val="0"/>
        <w:adjustRightInd/>
        <w:spacing w:beforeAutospacing="0" w:afterAutospacing="0" w:line="1000" w:lineRule="exact"/>
        <w:ind w:firstLine="540" w:firstLineChars="192"/>
        <w:jc w:val="left"/>
        <w:textAlignment w:val="auto"/>
        <w:rPr>
          <w:rFonts w:hint="eastAsia" w:ascii="宋体" w:hAnsi="宋体"/>
          <w:b/>
          <w:bCs/>
          <w:color w:val="auto"/>
          <w:sz w:val="28"/>
        </w:rPr>
      </w:pPr>
    </w:p>
    <w:p>
      <w:pPr>
        <w:keepNext w:val="0"/>
        <w:keepLines w:val="0"/>
        <w:pageBreakBefore w:val="0"/>
        <w:widowControl w:val="0"/>
        <w:kinsoku/>
        <w:overflowPunct/>
        <w:topLinePunct w:val="0"/>
        <w:bidi w:val="0"/>
        <w:adjustRightInd/>
        <w:spacing w:beforeAutospacing="0" w:afterAutospacing="0" w:line="1000" w:lineRule="exact"/>
        <w:ind w:firstLine="540" w:firstLineChars="192"/>
        <w:jc w:val="left"/>
        <w:textAlignment w:val="auto"/>
        <w:rPr>
          <w:rFonts w:hint="eastAsia" w:ascii="宋体" w:hAnsi="宋体"/>
          <w:b/>
          <w:bCs/>
          <w:color w:val="auto"/>
          <w:sz w:val="28"/>
        </w:rPr>
      </w:pPr>
    </w:p>
    <w:p>
      <w:pPr>
        <w:keepNext w:val="0"/>
        <w:keepLines w:val="0"/>
        <w:pageBreakBefore w:val="0"/>
        <w:widowControl w:val="0"/>
        <w:kinsoku/>
        <w:overflowPunct/>
        <w:topLinePunct w:val="0"/>
        <w:bidi w:val="0"/>
        <w:adjustRightInd/>
        <w:spacing w:beforeAutospacing="0" w:afterAutospacing="0" w:line="600" w:lineRule="exact"/>
        <w:ind w:firstLine="540" w:firstLineChars="192"/>
        <w:jc w:val="left"/>
        <w:textAlignment w:val="auto"/>
        <w:rPr>
          <w:rFonts w:hint="eastAsia" w:ascii="宋体" w:hAnsi="宋体"/>
          <w:b/>
          <w:bCs/>
          <w:color w:val="auto"/>
          <w:sz w:val="28"/>
        </w:rPr>
      </w:pPr>
    </w:p>
    <w:p>
      <w:pPr>
        <w:keepNext w:val="0"/>
        <w:keepLines w:val="0"/>
        <w:pageBreakBefore w:val="0"/>
        <w:widowControl w:val="0"/>
        <w:kinsoku/>
        <w:overflowPunct/>
        <w:topLinePunct w:val="0"/>
        <w:bidi w:val="0"/>
        <w:adjustRightInd/>
        <w:spacing w:beforeAutospacing="0" w:afterAutospacing="0" w:line="600" w:lineRule="exact"/>
        <w:ind w:firstLine="540" w:firstLineChars="192"/>
        <w:jc w:val="left"/>
        <w:textAlignment w:val="auto"/>
        <w:rPr>
          <w:rFonts w:hint="eastAsia" w:ascii="宋体" w:hAnsi="宋体"/>
          <w:b/>
          <w:bCs/>
          <w:color w:val="auto"/>
          <w:sz w:val="28"/>
        </w:rPr>
      </w:pPr>
    </w:p>
    <w:p>
      <w:pPr>
        <w:pStyle w:val="22"/>
        <w:rPr>
          <w:rFonts w:hint="eastAsia"/>
        </w:rPr>
      </w:pPr>
    </w:p>
    <w:p>
      <w:pPr>
        <w:pStyle w:val="22"/>
        <w:rPr>
          <w:rFonts w:hint="eastAsia"/>
        </w:rPr>
      </w:pPr>
    </w:p>
    <w:p>
      <w:pPr>
        <w:pStyle w:val="22"/>
        <w:rPr>
          <w:rFonts w:hint="eastAsia"/>
        </w:rPr>
      </w:pPr>
    </w:p>
    <w:p>
      <w:pPr>
        <w:pStyle w:val="22"/>
        <w:rPr>
          <w:rFonts w:hint="eastAsia"/>
        </w:rPr>
      </w:pPr>
    </w:p>
    <w:p>
      <w:pPr>
        <w:keepNext w:val="0"/>
        <w:keepLines w:val="0"/>
        <w:pageBreakBefore w:val="0"/>
        <w:widowControl w:val="0"/>
        <w:kinsoku/>
        <w:overflowPunct/>
        <w:topLinePunct w:val="0"/>
        <w:bidi w:val="0"/>
        <w:adjustRightInd/>
        <w:spacing w:beforeAutospacing="0" w:afterAutospacing="0" w:line="600" w:lineRule="exact"/>
        <w:ind w:firstLine="1664" w:firstLineChars="592"/>
        <w:jc w:val="left"/>
        <w:textAlignment w:val="auto"/>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eastAsia="zh-CN"/>
        </w:rPr>
        <w:t>采</w:t>
      </w: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lang w:eastAsia="zh-CN"/>
        </w:rPr>
        <w:t>购</w:t>
      </w:r>
      <w:r>
        <w:rPr>
          <w:rFonts w:hint="eastAsia" w:ascii="宋体" w:hAnsi="宋体" w:cs="宋体"/>
          <w:b/>
          <w:bCs/>
          <w:color w:val="auto"/>
          <w:sz w:val="28"/>
          <w:szCs w:val="28"/>
          <w:lang w:val="en-US" w:eastAsia="zh-CN"/>
        </w:rPr>
        <w:t xml:space="preserve">   </w:t>
      </w:r>
      <w:r>
        <w:rPr>
          <w:rFonts w:hint="eastAsia" w:ascii="宋体" w:hAnsi="宋体" w:cs="宋体"/>
          <w:b/>
          <w:bCs/>
          <w:color w:val="auto"/>
          <w:sz w:val="28"/>
          <w:szCs w:val="28"/>
          <w:lang w:eastAsia="zh-CN"/>
        </w:rPr>
        <w:t>人</w:t>
      </w:r>
      <w:r>
        <w:rPr>
          <w:rFonts w:hint="eastAsia" w:ascii="宋体" w:hAnsi="宋体" w:eastAsia="宋体" w:cs="宋体"/>
          <w:b/>
          <w:bCs/>
          <w:color w:val="auto"/>
          <w:sz w:val="28"/>
          <w:szCs w:val="28"/>
        </w:rPr>
        <w:t>：</w:t>
      </w:r>
      <w:r>
        <w:rPr>
          <w:rFonts w:hint="eastAsia" w:ascii="宋体" w:hAnsi="宋体" w:cs="宋体"/>
          <w:b/>
          <w:bCs/>
          <w:color w:val="auto"/>
          <w:sz w:val="28"/>
          <w:szCs w:val="28"/>
          <w:lang w:eastAsia="zh-CN"/>
        </w:rPr>
        <w:t>息县教育体育局</w:t>
      </w:r>
    </w:p>
    <w:p>
      <w:pPr>
        <w:keepNext w:val="0"/>
        <w:keepLines w:val="0"/>
        <w:pageBreakBefore w:val="0"/>
        <w:widowControl w:val="0"/>
        <w:kinsoku/>
        <w:overflowPunct/>
        <w:topLinePunct w:val="0"/>
        <w:bidi w:val="0"/>
        <w:adjustRightInd/>
        <w:spacing w:beforeAutospacing="0" w:afterAutospacing="0" w:line="600" w:lineRule="exact"/>
        <w:ind w:firstLine="1687" w:firstLineChars="600"/>
        <w:jc w:val="left"/>
        <w:textAlignment w:val="auto"/>
        <w:rPr>
          <w:rFonts w:hint="eastAsia" w:ascii="宋体" w:hAnsi="宋体" w:eastAsia="宋体" w:cs="宋体"/>
          <w:b/>
          <w:bCs/>
          <w:color w:val="auto"/>
          <w:sz w:val="28"/>
          <w:szCs w:val="28"/>
        </w:rPr>
      </w:pPr>
      <w:r>
        <w:rPr>
          <w:rFonts w:hint="eastAsia" w:ascii="宋体" w:hAnsi="宋体" w:cs="宋体"/>
          <w:b/>
          <w:bCs/>
          <w:color w:val="auto"/>
          <w:sz w:val="28"/>
          <w:szCs w:val="28"/>
          <w:lang w:eastAsia="zh-CN"/>
        </w:rPr>
        <w:t>采购代理机构</w:t>
      </w:r>
      <w:r>
        <w:rPr>
          <w:rFonts w:hint="eastAsia" w:ascii="宋体" w:hAnsi="宋体" w:eastAsia="宋体" w:cs="宋体"/>
          <w:b/>
          <w:bCs/>
          <w:color w:val="auto"/>
          <w:sz w:val="28"/>
          <w:szCs w:val="28"/>
        </w:rPr>
        <w:t>：华睿诚项目管理有限公司</w:t>
      </w:r>
    </w:p>
    <w:p>
      <w:pPr>
        <w:keepNext w:val="0"/>
        <w:keepLines w:val="0"/>
        <w:pageBreakBefore w:val="0"/>
        <w:widowControl w:val="0"/>
        <w:kinsoku/>
        <w:overflowPunct/>
        <w:topLinePunct w:val="0"/>
        <w:bidi w:val="0"/>
        <w:adjustRightInd/>
        <w:spacing w:beforeAutospacing="0" w:afterAutospacing="0" w:line="600" w:lineRule="exact"/>
        <w:ind w:firstLine="1687" w:firstLineChars="600"/>
        <w:jc w:val="both"/>
        <w:textAlignment w:val="auto"/>
        <w:outlineLvl w:val="1"/>
        <w:rPr>
          <w:rFonts w:hint="eastAsia" w:ascii="宋体" w:hAnsi="宋体" w:eastAsia="宋体" w:cs="宋体"/>
          <w:b/>
          <w:color w:val="auto"/>
          <w:sz w:val="28"/>
          <w:szCs w:val="28"/>
        </w:rPr>
      </w:pPr>
      <w:bookmarkStart w:id="7" w:name="_Toc12547"/>
      <w:bookmarkEnd w:id="7"/>
      <w:bookmarkStart w:id="8" w:name="_Toc15548"/>
      <w:bookmarkEnd w:id="8"/>
      <w:bookmarkStart w:id="9" w:name="_Toc8854"/>
      <w:bookmarkStart w:id="10" w:name="_Toc16298"/>
      <w:bookmarkStart w:id="11" w:name="_Toc26690"/>
      <w:r>
        <w:rPr>
          <w:rFonts w:hint="eastAsia" w:ascii="宋体" w:hAnsi="宋体" w:eastAsia="宋体" w:cs="宋体"/>
          <w:b/>
          <w:bCs/>
          <w:color w:val="auto"/>
          <w:sz w:val="28"/>
          <w:szCs w:val="28"/>
        </w:rPr>
        <w:t xml:space="preserve">日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期：</w:t>
      </w:r>
      <w:r>
        <w:rPr>
          <w:rFonts w:hint="eastAsia" w:ascii="宋体" w:hAnsi="宋体" w:eastAsia="宋体" w:cs="宋体"/>
          <w:b/>
          <w:bCs/>
          <w:sz w:val="28"/>
          <w:szCs w:val="28"/>
          <w:u w:val="none"/>
          <w:lang w:val="en-US" w:eastAsia="zh-CN"/>
        </w:rPr>
        <w:t>二零二</w:t>
      </w:r>
      <w:r>
        <w:rPr>
          <w:rFonts w:hint="eastAsia" w:ascii="宋体" w:hAnsi="宋体" w:cs="宋体"/>
          <w:b/>
          <w:bCs/>
          <w:sz w:val="28"/>
          <w:szCs w:val="28"/>
          <w:u w:val="none"/>
          <w:lang w:val="en-US" w:eastAsia="zh-CN"/>
        </w:rPr>
        <w:t>三</w:t>
      </w:r>
      <w:r>
        <w:rPr>
          <w:rFonts w:hint="eastAsia" w:ascii="宋体" w:hAnsi="宋体" w:eastAsia="宋体" w:cs="宋体"/>
          <w:b/>
          <w:bCs/>
          <w:sz w:val="28"/>
          <w:szCs w:val="28"/>
          <w:u w:val="none"/>
          <w:lang w:val="en-US" w:eastAsia="zh-CN"/>
        </w:rPr>
        <w:t>年</w:t>
      </w:r>
      <w:r>
        <w:rPr>
          <w:rFonts w:hint="eastAsia" w:ascii="宋体" w:hAnsi="宋体" w:cs="宋体"/>
          <w:b/>
          <w:bCs/>
          <w:sz w:val="28"/>
          <w:szCs w:val="28"/>
          <w:u w:val="none"/>
          <w:lang w:val="en-US" w:eastAsia="zh-CN"/>
        </w:rPr>
        <w:t>三</w:t>
      </w:r>
      <w:r>
        <w:rPr>
          <w:rFonts w:hint="eastAsia" w:ascii="宋体" w:hAnsi="宋体" w:eastAsia="宋体" w:cs="宋体"/>
          <w:b/>
          <w:bCs/>
          <w:sz w:val="28"/>
          <w:szCs w:val="28"/>
          <w:u w:val="none"/>
          <w:lang w:val="en-US" w:eastAsia="zh-CN"/>
        </w:rPr>
        <w:t>月</w:t>
      </w:r>
      <w:bookmarkEnd w:id="9"/>
      <w:bookmarkEnd w:id="10"/>
      <w:bookmarkEnd w:id="11"/>
    </w:p>
    <w:p>
      <w:pPr>
        <w:pStyle w:val="3"/>
        <w:rPr>
          <w:rFonts w:hint="eastAsia" w:eastAsia="宋体"/>
          <w:b/>
          <w:bCs/>
          <w:sz w:val="32"/>
          <w:szCs w:val="32"/>
          <w:u w:val="none"/>
          <w:lang w:val="en-US" w:eastAsia="zh-CN"/>
        </w:rPr>
      </w:pPr>
    </w:p>
    <w:p>
      <w:pPr>
        <w:rPr>
          <w:rFonts w:hint="eastAsia"/>
          <w:lang w:val="en-US" w:eastAsia="zh-CN"/>
        </w:rPr>
      </w:pPr>
      <w:r>
        <w:rPr>
          <w:rFonts w:hint="eastAsia"/>
          <w:lang w:val="en-US" w:eastAsia="zh-CN"/>
        </w:rPr>
        <w:br w:type="page"/>
      </w:r>
    </w:p>
    <w:p>
      <w:pPr>
        <w:spacing w:before="0" w:beforeLines="0" w:beforeAutospacing="0" w:after="0" w:afterLines="0" w:afterAutospacing="0" w:line="240" w:lineRule="auto"/>
        <w:ind w:left="0" w:leftChars="0" w:right="0" w:rightChars="0" w:firstLine="0" w:firstLineChars="0"/>
        <w:jc w:val="center"/>
        <w:rPr>
          <w:rFonts w:hint="eastAsia" w:ascii="宋体" w:hAnsi="宋体" w:eastAsia="宋体" w:cs="宋体"/>
          <w:b/>
          <w:bCs/>
          <w:color w:val="auto"/>
          <w:sz w:val="28"/>
          <w:szCs w:val="36"/>
          <w:highlight w:val="none"/>
        </w:rPr>
      </w:pPr>
      <w:bookmarkStart w:id="12" w:name="_Toc516822634"/>
      <w:r>
        <w:rPr>
          <w:rFonts w:hint="eastAsia" w:ascii="宋体" w:hAnsi="宋体" w:eastAsia="宋体" w:cs="宋体"/>
          <w:b/>
          <w:bCs/>
          <w:color w:val="auto"/>
          <w:sz w:val="28"/>
          <w:szCs w:val="36"/>
          <w:highlight w:val="none"/>
        </w:rPr>
        <w:t>目</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录</w:t>
      </w:r>
    </w:p>
    <w:p>
      <w:pPr>
        <w:pStyle w:val="21"/>
        <w:tabs>
          <w:tab w:val="right" w:leader="dot" w:pos="9299"/>
        </w:tabs>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TOC \o "1-3" \h \u </w:instrText>
      </w:r>
      <w:r>
        <w:rPr>
          <w:rFonts w:hint="eastAsia" w:ascii="宋体" w:hAnsi="宋体" w:eastAsia="宋体" w:cs="宋体"/>
          <w:i w:val="0"/>
          <w:iCs w:val="0"/>
          <w:color w:val="auto"/>
          <w:sz w:val="24"/>
          <w:szCs w:val="24"/>
          <w:highlight w:val="none"/>
        </w:rPr>
        <w:fldChar w:fldCharType="separate"/>
      </w:r>
    </w:p>
    <w:p>
      <w:pPr>
        <w:pStyle w:val="19"/>
        <w:keepNext w:val="0"/>
        <w:keepLines w:val="0"/>
        <w:pageBreakBefore w:val="0"/>
        <w:widowControl w:val="0"/>
        <w:tabs>
          <w:tab w:val="right" w:leader="dot" w:pos="9299"/>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_Toc22011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zh-CN" w:eastAsia="zh-CN"/>
        </w:rPr>
        <w:t>第一章</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lang w:eastAsia="zh-CN"/>
        </w:rPr>
        <w:t>招标公告</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_Toc22011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9"/>
        <w:keepNext w:val="0"/>
        <w:keepLines w:val="0"/>
        <w:pageBreakBefore w:val="0"/>
        <w:widowControl w:val="0"/>
        <w:tabs>
          <w:tab w:val="right" w:leader="dot" w:pos="9299"/>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_Toc18006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eastAsia="zh-CN"/>
        </w:rPr>
        <w:t>第二章</w:t>
      </w:r>
      <w:r>
        <w:rPr>
          <w:rFonts w:hint="eastAsia" w:ascii="宋体" w:hAnsi="宋体" w:eastAsia="宋体" w:cs="宋体"/>
          <w:i w:val="0"/>
          <w:iCs w:val="0"/>
          <w:sz w:val="24"/>
          <w:szCs w:val="24"/>
        </w:rPr>
        <w:t xml:space="preserve"> </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投标人须知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_Toc18006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_Toc31530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val="0"/>
          <w:i w:val="0"/>
          <w:iCs w:val="0"/>
          <w:sz w:val="24"/>
          <w:szCs w:val="24"/>
          <w:highlight w:val="none"/>
        </w:rPr>
        <w:t>投标人须知前附表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_Toc31530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_Toc26005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 总则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_Toc26005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_Toc11151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2. 招标文件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_Toc11151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_Toc10785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3.</w:t>
      </w:r>
      <w:r>
        <w:rPr>
          <w:rFonts w:hint="eastAsia" w:ascii="宋体" w:hAnsi="宋体" w:eastAsia="宋体" w:cs="宋体"/>
          <w:i w:val="0"/>
          <w:iCs w:val="0"/>
          <w:sz w:val="24"/>
          <w:szCs w:val="24"/>
          <w:highlight w:val="none"/>
          <w:lang w:val="en-US" w:eastAsia="zh-CN"/>
        </w:rPr>
        <w:t xml:space="preserve"> </w:t>
      </w:r>
      <w:r>
        <w:rPr>
          <w:rFonts w:hint="eastAsia" w:ascii="宋体" w:hAnsi="宋体" w:eastAsia="宋体" w:cs="宋体"/>
          <w:i w:val="0"/>
          <w:iCs w:val="0"/>
          <w:sz w:val="24"/>
          <w:szCs w:val="24"/>
          <w:highlight w:val="none"/>
        </w:rPr>
        <w:t>投标文件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_Toc10785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_Toc23641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4. 投标</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_Toc23641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_Toc7577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5. 开标</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_Toc7577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_Toc27915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6. 评标</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_Toc27915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_Toc13392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7. 合同授予</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_Toc13392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_Toc12323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8. 重新招标和不再招标</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_Toc12323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_Toc12404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9. 纪律和监督</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_Toc12404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_Toc23062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10. 需要补充的其他内容</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_Toc23062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_Toc2974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附件一：开标记录表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_Toc2974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30</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_Toc8490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附件二：问题澄清通知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_Toc8490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_Toc457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附件三：问题的澄清</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_Toc457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9"/>
        <w:keepNext w:val="0"/>
        <w:keepLines w:val="0"/>
        <w:pageBreakBefore w:val="0"/>
        <w:widowControl w:val="0"/>
        <w:tabs>
          <w:tab w:val="right" w:leader="dot" w:pos="9299"/>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_Toc23826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zh-CN" w:eastAsia="zh-CN"/>
        </w:rPr>
        <w:t>第三章</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lang w:eastAsia="zh-CN"/>
        </w:rPr>
        <w:t>评标办法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_Toc23826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9"/>
        <w:keepNext w:val="0"/>
        <w:keepLines w:val="0"/>
        <w:pageBreakBefore w:val="0"/>
        <w:widowControl w:val="0"/>
        <w:tabs>
          <w:tab w:val="right" w:leader="dot" w:pos="9299"/>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_Toc11383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eastAsia="zh-CN"/>
        </w:rPr>
        <w:t>第四章</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lang w:eastAsia="zh-CN"/>
        </w:rPr>
        <w:t>合同条款及格式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_Toc11383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9"/>
        <w:keepNext w:val="0"/>
        <w:keepLines w:val="0"/>
        <w:pageBreakBefore w:val="0"/>
        <w:widowControl w:val="0"/>
        <w:tabs>
          <w:tab w:val="right" w:leader="dot" w:pos="9299"/>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_Toc361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eastAsia="zh-CN"/>
        </w:rPr>
        <w:t xml:space="preserve">第五章 </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lang w:eastAsia="zh-CN"/>
        </w:rPr>
        <w:t>工程量清单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_Toc361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9"/>
        <w:keepNext w:val="0"/>
        <w:keepLines w:val="0"/>
        <w:pageBreakBefore w:val="0"/>
        <w:widowControl w:val="0"/>
        <w:tabs>
          <w:tab w:val="right" w:leader="dot" w:pos="9299"/>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_Toc29908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eastAsia="zh-CN"/>
        </w:rPr>
        <w:t>第六章  图  纸</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_Toc29908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9"/>
        <w:keepNext w:val="0"/>
        <w:keepLines w:val="0"/>
        <w:pageBreakBefore w:val="0"/>
        <w:widowControl w:val="0"/>
        <w:tabs>
          <w:tab w:val="right" w:leader="dot" w:pos="9299"/>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_Toc16047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eastAsia="zh-CN"/>
        </w:rPr>
        <w:t xml:space="preserve">第七章 </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lang w:eastAsia="zh-CN"/>
        </w:rPr>
        <w:t>技术标准和要求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_Toc16047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9"/>
        <w:keepNext w:val="0"/>
        <w:keepLines w:val="0"/>
        <w:pageBreakBefore w:val="0"/>
        <w:widowControl w:val="0"/>
        <w:tabs>
          <w:tab w:val="right" w:leader="dot" w:pos="9299"/>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_Toc5197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eastAsia="zh-CN"/>
        </w:rPr>
        <w:t>第八章</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lang w:eastAsia="zh-CN"/>
        </w:rPr>
        <w:t>投标文件格式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_Toc5197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69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_Toc1957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一、</w:t>
      </w:r>
      <w:r>
        <w:rPr>
          <w:rFonts w:hint="eastAsia" w:ascii="宋体" w:hAnsi="宋体" w:eastAsia="宋体" w:cs="宋体"/>
          <w:i w:val="0"/>
          <w:iCs w:val="0"/>
          <w:sz w:val="24"/>
          <w:szCs w:val="24"/>
          <w:highlight w:val="none"/>
        </w:rPr>
        <w:t>投标函及投标函附录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_Toc1957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_Toc14692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eastAsia="zh-CN"/>
        </w:rPr>
        <w:t>二、法定代表人身份证明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_Toc14692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15"/>
        <w:keepNext w:val="0"/>
        <w:keepLines w:val="0"/>
        <w:pageBreakBefore w:val="0"/>
        <w:widowControl w:val="0"/>
        <w:tabs>
          <w:tab w:val="right" w:leader="dot" w:pos="9299"/>
        </w:tabs>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_Toc31172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kern w:val="2"/>
          <w:sz w:val="24"/>
          <w:szCs w:val="24"/>
          <w:highlight w:val="none"/>
          <w:lang w:val="en-US" w:eastAsia="zh-CN" w:bidi="ar-SA"/>
        </w:rPr>
        <w:t>三、授权委托书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_Toc31172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_Toc25265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四、</w:t>
      </w:r>
      <w:r>
        <w:rPr>
          <w:rFonts w:hint="eastAsia" w:ascii="宋体" w:hAnsi="宋体" w:eastAsia="宋体" w:cs="宋体"/>
          <w:i w:val="0"/>
          <w:iCs w:val="0"/>
          <w:sz w:val="24"/>
          <w:szCs w:val="24"/>
          <w:highlight w:val="none"/>
        </w:rPr>
        <w:t>已标价工程量清单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_Toc25265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_Toc2287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eastAsia="zh-CN"/>
        </w:rPr>
        <w:t>五、施工组织设计</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_Toc2287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_Toc5524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六、</w:t>
      </w:r>
      <w:r>
        <w:rPr>
          <w:rFonts w:hint="eastAsia" w:ascii="宋体" w:hAnsi="宋体" w:eastAsia="宋体" w:cs="宋体"/>
          <w:i w:val="0"/>
          <w:iCs w:val="0"/>
          <w:sz w:val="24"/>
          <w:szCs w:val="24"/>
          <w:highlight w:val="none"/>
        </w:rPr>
        <w:t>项目管理机构</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_Toc5524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_Toc3992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bCs/>
          <w:i w:val="0"/>
          <w:iCs w:val="0"/>
          <w:sz w:val="24"/>
          <w:szCs w:val="24"/>
          <w:highlight w:val="none"/>
          <w:lang w:eastAsia="zh-CN"/>
        </w:rPr>
        <w:t>七、</w:t>
      </w:r>
      <w:r>
        <w:rPr>
          <w:rFonts w:hint="eastAsia" w:ascii="宋体" w:hAnsi="宋体" w:eastAsia="宋体" w:cs="宋体"/>
          <w:bCs/>
          <w:i w:val="0"/>
          <w:iCs w:val="0"/>
          <w:sz w:val="24"/>
          <w:szCs w:val="24"/>
          <w:highlight w:val="none"/>
        </w:rPr>
        <w:t>资格审查资料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_Toc3992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1"/>
        <w:keepNext w:val="0"/>
        <w:keepLines w:val="0"/>
        <w:pageBreakBefore w:val="0"/>
        <w:widowControl w:val="0"/>
        <w:tabs>
          <w:tab w:val="right" w:leader="dot" w:pos="9299"/>
        </w:tabs>
        <w:kinsoku/>
        <w:wordWrap/>
        <w:overflowPunct/>
        <w:topLinePunct w:val="0"/>
        <w:autoSpaceDE/>
        <w:autoSpaceDN/>
        <w:bidi w:val="0"/>
        <w:adjustRightInd/>
        <w:snapToGrid/>
        <w:spacing w:line="500" w:lineRule="exact"/>
        <w:textAlignment w:val="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_Toc26312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lang w:eastAsia="zh-CN"/>
        </w:rPr>
        <w:t>八、</w:t>
      </w:r>
      <w:r>
        <w:rPr>
          <w:rFonts w:hint="eastAsia" w:ascii="宋体" w:hAnsi="宋体" w:eastAsia="宋体" w:cs="宋体"/>
          <w:i w:val="0"/>
          <w:iCs w:val="0"/>
          <w:sz w:val="24"/>
          <w:szCs w:val="24"/>
          <w:highlight w:val="none"/>
        </w:rPr>
        <w:t>其他材料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_Toc26312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spacing w:beforeAutospacing="0" w:afterAutospacing="0" w:line="360" w:lineRule="auto"/>
        <w:jc w:val="center"/>
        <w:outlineLvl w:val="0"/>
        <w:rPr>
          <w:rFonts w:hint="eastAsia" w:ascii="宋体" w:hAnsi="宋体" w:eastAsia="宋体" w:cs="宋体"/>
          <w:i w:val="0"/>
          <w:iCs w:val="0"/>
          <w:color w:val="auto"/>
          <w:szCs w:val="24"/>
          <w:highlight w:val="none"/>
        </w:rPr>
        <w:sectPr>
          <w:headerReference r:id="rId3" w:type="default"/>
          <w:pgSz w:w="11907" w:h="16840"/>
          <w:pgMar w:top="1304" w:right="1304" w:bottom="1304" w:left="1304" w:header="851" w:footer="851" w:gutter="0"/>
          <w:pgNumType w:fmt="decimal" w:start="1"/>
          <w:cols w:space="720" w:num="1"/>
          <w:docGrid w:linePitch="312" w:charSpace="0"/>
        </w:sectPr>
      </w:pPr>
      <w:r>
        <w:rPr>
          <w:rFonts w:hint="eastAsia" w:ascii="宋体" w:hAnsi="宋体" w:eastAsia="宋体" w:cs="宋体"/>
          <w:i w:val="0"/>
          <w:iCs w:val="0"/>
          <w:color w:val="auto"/>
          <w:szCs w:val="24"/>
          <w:highlight w:val="none"/>
        </w:rPr>
        <w:fldChar w:fldCharType="end"/>
      </w:r>
      <w:bookmarkEnd w:id="12"/>
      <w:bookmarkStart w:id="13" w:name="_Toc22011"/>
    </w:p>
    <w:p>
      <w:pPr>
        <w:spacing w:beforeAutospacing="0" w:afterAutospacing="0" w:line="360" w:lineRule="auto"/>
        <w:jc w:val="center"/>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val="zh-CN" w:eastAsia="zh-CN"/>
        </w:rPr>
        <w:t>第一章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招标公告</w:t>
      </w:r>
      <w:bookmarkEnd w:id="13"/>
    </w:p>
    <w:p>
      <w:pPr>
        <w:widowControl/>
        <w:shd w:val="clear" w:color="auto" w:fill="FFFFFF"/>
        <w:spacing w:line="360" w:lineRule="auto"/>
        <w:ind w:firstLine="643"/>
        <w:jc w:val="center"/>
        <w:rPr>
          <w:rStyle w:val="28"/>
          <w:rFonts w:ascii="宋体" w:hAnsi="宋体" w:eastAsia="宋体" w:cs="宋体"/>
          <w:kern w:val="0"/>
          <w:sz w:val="32"/>
          <w:szCs w:val="32"/>
          <w:shd w:val="clear" w:color="auto" w:fill="FFFFFF"/>
        </w:rPr>
      </w:pPr>
      <w:bookmarkStart w:id="14" w:name="_Toc28858"/>
      <w:bookmarkStart w:id="15" w:name="_Toc516822637"/>
      <w:bookmarkStart w:id="16" w:name="_Toc8172"/>
      <w:r>
        <w:rPr>
          <w:rStyle w:val="28"/>
          <w:rFonts w:hint="eastAsia" w:ascii="宋体" w:hAnsi="宋体" w:eastAsia="宋体" w:cs="宋体"/>
          <w:kern w:val="0"/>
          <w:sz w:val="32"/>
          <w:szCs w:val="32"/>
          <w:shd w:val="clear" w:color="auto" w:fill="FFFFFF"/>
        </w:rPr>
        <w:t>2022年息县义务教育薄弱环节改善与能力提升项目</w:t>
      </w:r>
    </w:p>
    <w:p>
      <w:pPr>
        <w:widowControl/>
        <w:shd w:val="clear" w:color="auto" w:fill="FFFFFF"/>
        <w:spacing w:line="360" w:lineRule="auto"/>
        <w:ind w:firstLine="643"/>
        <w:jc w:val="center"/>
        <w:rPr>
          <w:rFonts w:ascii="宋体" w:hAnsi="宋体" w:eastAsia="宋体" w:cs="宋体"/>
          <w:b/>
          <w:sz w:val="32"/>
          <w:szCs w:val="32"/>
        </w:rPr>
      </w:pPr>
      <w:r>
        <w:rPr>
          <w:rStyle w:val="28"/>
          <w:rFonts w:hint="eastAsia" w:ascii="宋体" w:hAnsi="宋体" w:eastAsia="宋体" w:cs="宋体"/>
          <w:kern w:val="0"/>
          <w:sz w:val="32"/>
          <w:szCs w:val="32"/>
          <w:shd w:val="clear" w:color="auto" w:fill="FFFFFF"/>
        </w:rPr>
        <w:t>仪器设备采购项目</w:t>
      </w:r>
      <w:r>
        <w:rPr>
          <w:rStyle w:val="28"/>
          <w:rFonts w:hint="eastAsia" w:ascii="宋体" w:hAnsi="宋体" w:eastAsia="宋体" w:cs="宋体"/>
          <w:kern w:val="0"/>
          <w:sz w:val="32"/>
          <w:szCs w:val="32"/>
          <w:shd w:val="clear" w:color="auto" w:fill="FFFFFF"/>
          <w:lang w:eastAsia="zh-CN"/>
        </w:rPr>
        <w:t>（第二批）</w:t>
      </w:r>
      <w:r>
        <w:rPr>
          <w:rStyle w:val="28"/>
          <w:rFonts w:hint="eastAsia" w:ascii="宋体" w:hAnsi="宋体" w:eastAsia="宋体" w:cs="宋体"/>
          <w:kern w:val="0"/>
          <w:sz w:val="32"/>
          <w:szCs w:val="32"/>
          <w:shd w:val="clear" w:color="auto" w:fill="FFFFFF"/>
        </w:rPr>
        <w:t>招标公告</w:t>
      </w:r>
    </w:p>
    <w:p>
      <w:pPr>
        <w:pStyle w:val="4"/>
        <w:keepNext w:val="0"/>
        <w:keepLines w:val="0"/>
        <w:pageBreakBefore w:val="0"/>
        <w:tabs>
          <w:tab w:val="left" w:pos="0"/>
          <w:tab w:val="left" w:pos="3165"/>
          <w:tab w:val="center" w:pos="4153"/>
        </w:tabs>
        <w:kinsoku/>
        <w:overflowPunct/>
        <w:topLinePunct w:val="0"/>
        <w:autoSpaceDE w:val="0"/>
        <w:autoSpaceDN w:val="0"/>
        <w:bidi w:val="0"/>
        <w:adjustRightInd w:val="0"/>
        <w:snapToGrid/>
        <w:spacing w:before="0" w:after="0" w:line="500" w:lineRule="exact"/>
        <w:ind w:firstLine="480"/>
        <w:jc w:val="left"/>
        <w:textAlignment w:val="auto"/>
        <w:rPr>
          <w:rFonts w:ascii="宋体" w:hAnsi="宋体" w:eastAsia="宋体" w:cs="宋体"/>
          <w:sz w:val="24"/>
          <w:szCs w:val="24"/>
          <w:highlight w:val="none"/>
          <w:u w:val="single"/>
        </w:rPr>
      </w:pPr>
      <w:bookmarkStart w:id="17" w:name="_Toc18576"/>
      <w:bookmarkStart w:id="18" w:name="_Toc5047"/>
      <w:bookmarkStart w:id="19" w:name="_Toc3242"/>
      <w:bookmarkStart w:id="20" w:name="_Toc4448"/>
      <w:bookmarkStart w:id="21" w:name="_Toc13894"/>
      <w:bookmarkStart w:id="22" w:name="_Toc14537"/>
      <w:bookmarkStart w:id="23" w:name="_Toc13447"/>
      <w:bookmarkStart w:id="24" w:name="_Toc30820"/>
      <w:bookmarkStart w:id="25" w:name="_Toc3094"/>
      <w:bookmarkStart w:id="26" w:name="_Toc23807"/>
      <w:bookmarkStart w:id="27" w:name="_Toc2879"/>
      <w:bookmarkStart w:id="28" w:name="_Toc5952"/>
      <w:bookmarkStart w:id="29" w:name="_Toc5028"/>
      <w:r>
        <w:rPr>
          <w:rFonts w:hint="eastAsia" w:ascii="宋体" w:hAnsi="宋体" w:eastAsia="宋体" w:cs="宋体"/>
          <w:b w:val="0"/>
          <w:sz w:val="24"/>
          <w:szCs w:val="24"/>
          <w:highlight w:val="none"/>
          <w:u w:val="single"/>
        </w:rPr>
        <w:t>2022年息县义务教育薄弱环节改善与能力提升项目仪器设备采购项目</w:t>
      </w:r>
      <w:r>
        <w:rPr>
          <w:rFonts w:hint="eastAsia" w:ascii="宋体" w:hAnsi="宋体" w:eastAsia="宋体" w:cs="宋体"/>
          <w:b w:val="0"/>
          <w:sz w:val="24"/>
          <w:szCs w:val="24"/>
          <w:highlight w:val="none"/>
          <w:u w:val="single"/>
          <w:lang w:eastAsia="zh-CN"/>
        </w:rPr>
        <w:t>（第二批）</w:t>
      </w:r>
      <w:r>
        <w:rPr>
          <w:rFonts w:hint="eastAsia" w:ascii="宋体" w:hAnsi="宋体" w:eastAsia="宋体" w:cs="宋体"/>
          <w:b w:val="0"/>
          <w:sz w:val="24"/>
          <w:szCs w:val="24"/>
          <w:highlight w:val="none"/>
        </w:rPr>
        <w:t>招标项目的潜在投标供应商应在</w:t>
      </w:r>
      <w:r>
        <w:rPr>
          <w:rFonts w:hint="eastAsia" w:ascii="宋体" w:hAnsi="宋体" w:eastAsia="宋体" w:cs="宋体"/>
          <w:b w:val="0"/>
          <w:sz w:val="24"/>
          <w:szCs w:val="24"/>
          <w:highlight w:val="none"/>
          <w:u w:val="single"/>
        </w:rPr>
        <w:t>（全国公共资源交易平台（河南省·息县）https://ggzyjy.xixian.gov.cn/）</w:t>
      </w:r>
      <w:r>
        <w:rPr>
          <w:rFonts w:hint="eastAsia" w:ascii="宋体" w:hAnsi="宋体" w:eastAsia="宋体" w:cs="宋体"/>
          <w:b w:val="0"/>
          <w:sz w:val="24"/>
          <w:szCs w:val="24"/>
          <w:highlight w:val="none"/>
        </w:rPr>
        <w:t>获取招标文件，并于</w:t>
      </w:r>
      <w:r>
        <w:rPr>
          <w:rFonts w:hint="eastAsia" w:ascii="宋体" w:hAnsi="宋体" w:eastAsia="宋体" w:cs="宋体"/>
          <w:b w:val="0"/>
          <w:color w:val="auto"/>
          <w:sz w:val="24"/>
          <w:szCs w:val="24"/>
          <w:highlight w:val="none"/>
          <w:u w:val="single"/>
        </w:rPr>
        <w:t xml:space="preserve">  202</w:t>
      </w:r>
      <w:r>
        <w:rPr>
          <w:rFonts w:hint="eastAsia" w:ascii="宋体" w:hAnsi="宋体" w:eastAsia="宋体" w:cs="宋体"/>
          <w:b w:val="0"/>
          <w:color w:val="auto"/>
          <w:sz w:val="24"/>
          <w:szCs w:val="24"/>
          <w:highlight w:val="none"/>
          <w:u w:val="single"/>
          <w:lang w:val="en-US" w:eastAsia="zh-CN"/>
        </w:rPr>
        <w:t>3</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cs="宋体"/>
          <w:b w:val="0"/>
          <w:color w:val="auto"/>
          <w:sz w:val="24"/>
          <w:szCs w:val="24"/>
          <w:highlight w:val="none"/>
          <w:u w:val="single"/>
          <w:lang w:val="en-US" w:eastAsia="zh-CN"/>
        </w:rPr>
        <w:t>4</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cs="宋体"/>
          <w:b w:val="0"/>
          <w:color w:val="auto"/>
          <w:sz w:val="24"/>
          <w:szCs w:val="24"/>
          <w:highlight w:val="none"/>
          <w:u w:val="single"/>
          <w:lang w:val="en-US" w:eastAsia="zh-CN"/>
        </w:rPr>
        <w:t>19</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09</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点</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30</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分</w:t>
      </w:r>
      <w:r>
        <w:rPr>
          <w:rFonts w:hint="eastAsia" w:ascii="宋体" w:hAnsi="宋体" w:eastAsia="宋体" w:cs="宋体"/>
          <w:b w:val="0"/>
          <w:sz w:val="24"/>
          <w:szCs w:val="24"/>
          <w:highlight w:val="none"/>
        </w:rPr>
        <w:t>（北京时间）前递交投标文件。</w:t>
      </w:r>
      <w:bookmarkEnd w:id="17"/>
      <w:bookmarkEnd w:id="18"/>
      <w:bookmarkEnd w:id="19"/>
      <w:bookmarkEnd w:id="20"/>
      <w:bookmarkEnd w:id="21"/>
      <w:bookmarkEnd w:id="22"/>
      <w:bookmarkEnd w:id="23"/>
      <w:bookmarkEnd w:id="24"/>
      <w:bookmarkEnd w:id="25"/>
      <w:bookmarkEnd w:id="26"/>
      <w:bookmarkEnd w:id="27"/>
      <w:bookmarkEnd w:id="28"/>
      <w:bookmarkEnd w:id="29"/>
    </w:p>
    <w:p>
      <w:pPr>
        <w:pStyle w:val="5"/>
        <w:keepNext w:val="0"/>
        <w:keepLines w:val="0"/>
        <w:pageBreakBefore w:val="0"/>
        <w:kinsoku/>
        <w:overflowPunct/>
        <w:topLinePunct w:val="0"/>
        <w:bidi w:val="0"/>
        <w:snapToGrid/>
        <w:spacing w:before="0" w:after="0" w:line="500" w:lineRule="exact"/>
        <w:ind w:firstLine="0" w:firstLineChars="0"/>
        <w:jc w:val="left"/>
        <w:textAlignment w:val="auto"/>
        <w:rPr>
          <w:rFonts w:eastAsia="宋体" w:cs="宋体"/>
          <w:bCs/>
          <w:sz w:val="24"/>
          <w:szCs w:val="24"/>
        </w:rPr>
      </w:pPr>
      <w:bookmarkStart w:id="30" w:name="_Toc32187"/>
      <w:bookmarkStart w:id="31" w:name="_Toc28359002"/>
      <w:bookmarkStart w:id="32" w:name="_Toc19184"/>
      <w:bookmarkStart w:id="33" w:name="_Toc21686"/>
      <w:bookmarkStart w:id="34" w:name="_Toc6995"/>
      <w:bookmarkStart w:id="35" w:name="_Toc16791"/>
      <w:bookmarkStart w:id="36" w:name="_Toc2571"/>
      <w:bookmarkStart w:id="37" w:name="_Toc4610"/>
      <w:bookmarkStart w:id="38" w:name="_Toc3394"/>
      <w:bookmarkStart w:id="39" w:name="_Toc35393790"/>
      <w:bookmarkStart w:id="40" w:name="_Toc35393621"/>
      <w:bookmarkStart w:id="41" w:name="_Toc10379"/>
      <w:bookmarkStart w:id="42" w:name="_Toc10775"/>
      <w:bookmarkStart w:id="43" w:name="_Toc26290"/>
      <w:bookmarkStart w:id="44" w:name="_Toc11971"/>
      <w:bookmarkStart w:id="45" w:name="_Toc28359079"/>
      <w:bookmarkStart w:id="46" w:name="_Toc19061"/>
      <w:bookmarkStart w:id="47" w:name="_Hlk24379207"/>
      <w:r>
        <w:rPr>
          <w:rFonts w:hint="eastAsia" w:eastAsia="宋体" w:cs="宋体"/>
          <w:bCs/>
          <w:sz w:val="24"/>
          <w:szCs w:val="24"/>
        </w:rPr>
        <w:t>一、项目基本情况</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keepNext w:val="0"/>
        <w:keepLines w:val="0"/>
        <w:pageBreakBefore w:val="0"/>
        <w:kinsoku/>
        <w:overflowPunct/>
        <w:topLinePunct w:val="0"/>
        <w:bidi w:val="0"/>
        <w:snapToGrid/>
        <w:spacing w:line="500" w:lineRule="exact"/>
        <w:ind w:firstLine="420" w:firstLineChars="175"/>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1.项目编号：息财公开-202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p>
    <w:p>
      <w:pPr>
        <w:keepNext w:val="0"/>
        <w:keepLines w:val="0"/>
        <w:pageBreakBefore w:val="0"/>
        <w:kinsoku/>
        <w:overflowPunct/>
        <w:topLinePunct w:val="0"/>
        <w:bidi w:val="0"/>
        <w:snapToGrid/>
        <w:spacing w:line="500" w:lineRule="exact"/>
        <w:ind w:firstLine="420" w:firstLineChars="175"/>
        <w:jc w:val="left"/>
        <w:textAlignment w:val="auto"/>
        <w:rPr>
          <w:rFonts w:ascii="宋体" w:hAnsi="宋体" w:eastAsia="宋体" w:cs="宋体"/>
          <w:b/>
          <w:sz w:val="24"/>
          <w:szCs w:val="24"/>
        </w:rPr>
      </w:pPr>
      <w:r>
        <w:rPr>
          <w:rFonts w:hint="eastAsia" w:ascii="宋体" w:hAnsi="宋体" w:eastAsia="宋体" w:cs="宋体"/>
          <w:sz w:val="24"/>
          <w:szCs w:val="24"/>
        </w:rPr>
        <w:t>2.项目名称：</w:t>
      </w:r>
      <w:bookmarkEnd w:id="47"/>
      <w:r>
        <w:rPr>
          <w:rFonts w:hint="eastAsia" w:ascii="宋体" w:hAnsi="宋体" w:eastAsia="宋体" w:cs="宋体"/>
          <w:sz w:val="24"/>
          <w:szCs w:val="24"/>
        </w:rPr>
        <w:t>2022年息县义务教育薄弱环节改善与能力提升项目仪器设备采购项目（第二批）</w:t>
      </w:r>
    </w:p>
    <w:p>
      <w:pPr>
        <w:keepNext w:val="0"/>
        <w:keepLines w:val="0"/>
        <w:pageBreakBefore w:val="0"/>
        <w:kinsoku/>
        <w:overflowPunct/>
        <w:topLinePunct w:val="0"/>
        <w:bidi w:val="0"/>
        <w:snapToGrid/>
        <w:spacing w:line="500" w:lineRule="exact"/>
        <w:ind w:firstLine="420" w:firstLineChars="175"/>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3.采购方式：公开招标</w:t>
      </w:r>
    </w:p>
    <w:p>
      <w:pPr>
        <w:keepNext w:val="0"/>
        <w:keepLines w:val="0"/>
        <w:pageBreakBefore w:val="0"/>
        <w:kinsoku/>
        <w:overflowPunct/>
        <w:topLinePunct w:val="0"/>
        <w:bidi w:val="0"/>
        <w:snapToGrid/>
        <w:spacing w:line="500" w:lineRule="exact"/>
        <w:ind w:firstLine="420" w:firstLineChars="175"/>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3409023.84</w:t>
      </w:r>
      <w:r>
        <w:rPr>
          <w:rFonts w:hint="eastAsia" w:ascii="宋体" w:hAnsi="宋体" w:eastAsia="宋体" w:cs="宋体"/>
          <w:sz w:val="24"/>
          <w:szCs w:val="24"/>
          <w:highlight w:val="none"/>
        </w:rPr>
        <w:t>元</w:t>
      </w:r>
    </w:p>
    <w:p>
      <w:pPr>
        <w:keepNext w:val="0"/>
        <w:keepLines w:val="0"/>
        <w:pageBreakBefore w:val="0"/>
        <w:kinsoku/>
        <w:overflowPunct/>
        <w:topLinePunct w:val="0"/>
        <w:bidi w:val="0"/>
        <w:snapToGrid/>
        <w:spacing w:line="500" w:lineRule="exact"/>
        <w:ind w:firstLine="660" w:firstLineChars="275"/>
        <w:jc w:val="left"/>
        <w:textAlignment w:val="auto"/>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val="en-US" w:eastAsia="zh-CN"/>
        </w:rPr>
        <w:t>3409023.84</w:t>
      </w:r>
      <w:r>
        <w:rPr>
          <w:rFonts w:hint="eastAsia" w:ascii="宋体" w:hAnsi="宋体" w:cs="宋体"/>
          <w:sz w:val="24"/>
          <w:szCs w:val="24"/>
          <w:highlight w:val="none"/>
        </w:rPr>
        <w:t>元</w:t>
      </w:r>
    </w:p>
    <w:p>
      <w:pPr>
        <w:keepNext w:val="0"/>
        <w:keepLines w:val="0"/>
        <w:pageBreakBefore w:val="0"/>
        <w:kinsoku/>
        <w:overflowPunct/>
        <w:topLinePunct w:val="0"/>
        <w:bidi w:val="0"/>
        <w:snapToGrid/>
        <w:spacing w:line="500" w:lineRule="exact"/>
        <w:ind w:firstLine="420" w:firstLineChars="175"/>
        <w:jc w:val="left"/>
        <w:textAlignment w:val="auto"/>
        <w:rPr>
          <w:rFonts w:ascii="宋体" w:hAnsi="宋体" w:cs="宋体"/>
          <w:sz w:val="24"/>
          <w:szCs w:val="24"/>
        </w:rPr>
      </w:pPr>
      <w:bookmarkStart w:id="48" w:name="_Toc28359003"/>
      <w:bookmarkStart w:id="49" w:name="_Toc35393791"/>
      <w:bookmarkStart w:id="50" w:name="_Toc11612"/>
      <w:bookmarkStart w:id="51" w:name="_Toc28359080"/>
      <w:bookmarkStart w:id="52" w:name="_Toc35393622"/>
      <w:r>
        <w:rPr>
          <w:rFonts w:hint="eastAsia" w:ascii="宋体" w:hAnsi="宋体" w:cs="宋体"/>
          <w:sz w:val="24"/>
          <w:szCs w:val="24"/>
        </w:rPr>
        <w:t>5.采购需求：</w:t>
      </w:r>
    </w:p>
    <w:p>
      <w:pPr>
        <w:keepNext w:val="0"/>
        <w:keepLines w:val="0"/>
        <w:pageBreakBefore w:val="0"/>
        <w:widowControl/>
        <w:kinsoku/>
        <w:wordWrap w:val="0"/>
        <w:overflowPunct/>
        <w:topLinePunct w:val="0"/>
        <w:bidi w:val="0"/>
        <w:snapToGrid/>
        <w:spacing w:line="500" w:lineRule="exact"/>
        <w:ind w:firstLine="638" w:firstLineChars="266"/>
        <w:jc w:val="left"/>
        <w:textAlignment w:val="auto"/>
        <w:rPr>
          <w:rFonts w:ascii="宋体" w:hAnsi="宋体" w:eastAsia="宋体" w:cs="宋体"/>
          <w:bCs/>
          <w:sz w:val="24"/>
          <w:szCs w:val="24"/>
        </w:rPr>
      </w:pPr>
      <w:r>
        <w:rPr>
          <w:rFonts w:hint="eastAsia" w:ascii="宋体" w:hAnsi="宋体" w:eastAsia="宋体" w:cs="宋体"/>
          <w:bCs/>
          <w:sz w:val="24"/>
          <w:szCs w:val="24"/>
        </w:rPr>
        <w:t>5.1资金来源：财政资金，已落实</w:t>
      </w:r>
    </w:p>
    <w:p>
      <w:pPr>
        <w:keepNext w:val="0"/>
        <w:keepLines w:val="0"/>
        <w:pageBreakBefore w:val="0"/>
        <w:widowControl/>
        <w:kinsoku/>
        <w:wordWrap w:val="0"/>
        <w:overflowPunct/>
        <w:topLinePunct w:val="0"/>
        <w:bidi w:val="0"/>
        <w:snapToGrid/>
        <w:spacing w:line="500" w:lineRule="exact"/>
        <w:ind w:firstLine="638" w:firstLineChars="266"/>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5.2</w:t>
      </w:r>
      <w:r>
        <w:rPr>
          <w:rFonts w:hint="eastAsia" w:ascii="宋体" w:hAnsi="宋体" w:eastAsia="宋体" w:cs="宋体"/>
          <w:bCs/>
          <w:sz w:val="24"/>
          <w:szCs w:val="24"/>
          <w:highlight w:val="none"/>
          <w:lang w:eastAsia="zh-CN"/>
        </w:rPr>
        <w:t>工期要求：</w:t>
      </w:r>
    </w:p>
    <w:p>
      <w:pPr>
        <w:keepNext w:val="0"/>
        <w:keepLines w:val="0"/>
        <w:pageBreakBefore w:val="0"/>
        <w:widowControl/>
        <w:kinsoku/>
        <w:wordWrap w:val="0"/>
        <w:overflowPunct/>
        <w:topLinePunct w:val="0"/>
        <w:bidi w:val="0"/>
        <w:snapToGrid/>
        <w:spacing w:line="500" w:lineRule="exact"/>
        <w:ind w:left="0" w:leftChars="0" w:firstLine="1058" w:firstLineChars="441"/>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第一、三标段：</w:t>
      </w:r>
    </w:p>
    <w:p>
      <w:pPr>
        <w:keepNext w:val="0"/>
        <w:keepLines w:val="0"/>
        <w:pageBreakBefore w:val="0"/>
        <w:widowControl/>
        <w:kinsoku/>
        <w:wordWrap w:val="0"/>
        <w:overflowPunct/>
        <w:topLinePunct w:val="0"/>
        <w:bidi w:val="0"/>
        <w:snapToGrid/>
        <w:spacing w:line="500" w:lineRule="exact"/>
        <w:ind w:left="0" w:leftChars="0" w:firstLine="1058" w:firstLineChars="441"/>
        <w:jc w:val="left"/>
        <w:textAlignment w:val="auto"/>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交货时间：</w:t>
      </w:r>
      <w:r>
        <w:rPr>
          <w:rFonts w:hint="eastAsia" w:ascii="宋体" w:hAnsi="宋体" w:eastAsia="宋体" w:cs="宋体"/>
          <w:color w:val="000000"/>
          <w:sz w:val="24"/>
          <w:szCs w:val="24"/>
          <w:highlight w:val="none"/>
        </w:rPr>
        <w:t>自合同签订之日起30日内</w:t>
      </w:r>
    </w:p>
    <w:p>
      <w:pPr>
        <w:keepNext w:val="0"/>
        <w:keepLines w:val="0"/>
        <w:pageBreakBefore w:val="0"/>
        <w:widowControl/>
        <w:kinsoku/>
        <w:wordWrap w:val="0"/>
        <w:overflowPunct/>
        <w:topLinePunct w:val="0"/>
        <w:bidi w:val="0"/>
        <w:snapToGrid/>
        <w:spacing w:line="500" w:lineRule="exact"/>
        <w:ind w:left="0" w:leftChars="0" w:firstLine="1058" w:firstLineChars="441"/>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第二标段：</w:t>
      </w:r>
    </w:p>
    <w:p>
      <w:pPr>
        <w:keepNext w:val="0"/>
        <w:keepLines w:val="0"/>
        <w:pageBreakBefore w:val="0"/>
        <w:widowControl/>
        <w:kinsoku/>
        <w:wordWrap w:val="0"/>
        <w:overflowPunct/>
        <w:topLinePunct w:val="0"/>
        <w:bidi w:val="0"/>
        <w:snapToGrid/>
        <w:spacing w:line="500" w:lineRule="exact"/>
        <w:ind w:left="0" w:leftChars="0" w:firstLine="1058" w:firstLineChars="441"/>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eastAsia="zh-CN"/>
        </w:rPr>
        <w:t>计划工期</w:t>
      </w:r>
      <w:r>
        <w:rPr>
          <w:rFonts w:hint="eastAsia" w:ascii="宋体" w:hAnsi="宋体" w:eastAsia="宋体" w:cs="宋体"/>
          <w:bCs/>
          <w:sz w:val="24"/>
          <w:szCs w:val="24"/>
          <w:highlight w:val="none"/>
        </w:rPr>
        <w:t>：</w:t>
      </w:r>
      <w:r>
        <w:rPr>
          <w:rFonts w:hint="eastAsia" w:ascii="宋体" w:hAnsi="宋体" w:eastAsia="宋体" w:cs="宋体"/>
          <w:color w:val="000000"/>
          <w:sz w:val="24"/>
          <w:szCs w:val="24"/>
          <w:highlight w:val="none"/>
          <w:lang w:val="en-US" w:eastAsia="zh-CN"/>
        </w:rPr>
        <w:t>60日历天</w:t>
      </w:r>
      <w:r>
        <w:rPr>
          <w:rFonts w:hint="eastAsia" w:ascii="宋体" w:hAnsi="宋体" w:cs="宋体"/>
          <w:color w:val="auto"/>
          <w:sz w:val="24"/>
          <w:szCs w:val="24"/>
          <w:highlight w:val="none"/>
          <w:u w:val="none"/>
          <w:lang w:val="en-US" w:eastAsia="zh-CN"/>
        </w:rPr>
        <w:t>/标段</w:t>
      </w:r>
    </w:p>
    <w:p>
      <w:pPr>
        <w:pStyle w:val="24"/>
        <w:keepNext w:val="0"/>
        <w:keepLines w:val="0"/>
        <w:pageBreakBefore w:val="0"/>
        <w:kinsoku/>
        <w:overflowPunct/>
        <w:topLinePunct w:val="0"/>
        <w:bidi w:val="0"/>
        <w:snapToGrid/>
        <w:spacing w:after="0" w:line="500" w:lineRule="exact"/>
        <w:ind w:firstLine="638" w:firstLineChars="266"/>
        <w:jc w:val="left"/>
        <w:textAlignment w:val="auto"/>
        <w:rPr>
          <w:rFonts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3</w:t>
      </w:r>
      <w:r>
        <w:rPr>
          <w:rFonts w:hint="eastAsia" w:ascii="宋体" w:hAnsi="宋体" w:eastAsia="宋体" w:cs="宋体"/>
          <w:bCs/>
          <w:sz w:val="24"/>
          <w:szCs w:val="24"/>
        </w:rPr>
        <w:t>标段划分：</w:t>
      </w:r>
    </w:p>
    <w:p>
      <w:pPr>
        <w:pStyle w:val="24"/>
        <w:keepNext w:val="0"/>
        <w:keepLines w:val="0"/>
        <w:pageBreakBefore w:val="0"/>
        <w:kinsoku/>
        <w:overflowPunct/>
        <w:topLinePunct w:val="0"/>
        <w:bidi w:val="0"/>
        <w:snapToGrid/>
        <w:spacing w:after="0" w:line="500" w:lineRule="exact"/>
        <w:ind w:firstLine="840" w:firstLineChars="350"/>
        <w:jc w:val="left"/>
        <w:textAlignment w:val="auto"/>
        <w:rPr>
          <w:rFonts w:ascii="宋体" w:hAnsi="宋体" w:eastAsia="宋体" w:cs="宋体"/>
          <w:bCs/>
          <w:sz w:val="24"/>
          <w:szCs w:val="24"/>
        </w:rPr>
      </w:pPr>
      <w:r>
        <w:rPr>
          <w:rFonts w:hint="eastAsia" w:ascii="宋体" w:hAnsi="宋体" w:eastAsia="宋体" w:cs="宋体"/>
          <w:bCs/>
          <w:sz w:val="24"/>
          <w:szCs w:val="24"/>
        </w:rPr>
        <w:t>本项目共划分为</w:t>
      </w:r>
      <w:r>
        <w:rPr>
          <w:rFonts w:hint="eastAsia" w:ascii="宋体" w:hAnsi="宋体" w:eastAsia="宋体" w:cs="宋体"/>
          <w:bCs/>
          <w:sz w:val="24"/>
          <w:szCs w:val="24"/>
          <w:lang w:val="en-US" w:eastAsia="zh-CN"/>
        </w:rPr>
        <w:t>三</w:t>
      </w:r>
      <w:r>
        <w:rPr>
          <w:rFonts w:hint="eastAsia" w:ascii="宋体" w:hAnsi="宋体" w:eastAsia="宋体" w:cs="宋体"/>
          <w:bCs/>
          <w:sz w:val="24"/>
          <w:szCs w:val="24"/>
        </w:rPr>
        <w:t>个标段</w:t>
      </w:r>
    </w:p>
    <w:p>
      <w:pPr>
        <w:keepNext w:val="0"/>
        <w:keepLines w:val="0"/>
        <w:pageBreakBefore w:val="0"/>
        <w:kinsoku/>
        <w:overflowPunct/>
        <w:topLinePunct w:val="0"/>
        <w:bidi w:val="0"/>
        <w:snapToGrid/>
        <w:spacing w:line="500" w:lineRule="exact"/>
        <w:ind w:firstLine="840" w:firstLineChars="35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第一标段：</w:t>
      </w:r>
      <w:r>
        <w:rPr>
          <w:rFonts w:hint="eastAsia" w:ascii="宋体" w:hAnsi="宋体" w:eastAsia="宋体" w:cs="宋体"/>
          <w:color w:val="auto"/>
          <w:sz w:val="24"/>
          <w:szCs w:val="24"/>
          <w:lang w:eastAsia="zh-CN"/>
        </w:rPr>
        <w:t>息县路口中心小学和项店中心小学食堂设备采购项目</w:t>
      </w:r>
    </w:p>
    <w:p>
      <w:pPr>
        <w:pStyle w:val="3"/>
        <w:keepNext w:val="0"/>
        <w:keepLines w:val="0"/>
        <w:pageBreakBefore w:val="0"/>
        <w:kinsoku/>
        <w:overflowPunct/>
        <w:topLinePunct w:val="0"/>
        <w:bidi w:val="0"/>
        <w:snapToGrid/>
        <w:spacing w:line="500" w:lineRule="exact"/>
        <w:ind w:firstLine="840" w:firstLineChars="35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第二标段：</w:t>
      </w:r>
      <w:r>
        <w:rPr>
          <w:rFonts w:hint="eastAsia" w:ascii="宋体" w:hAnsi="宋体" w:eastAsia="宋体" w:cs="宋体"/>
          <w:color w:val="auto"/>
          <w:sz w:val="24"/>
          <w:szCs w:val="24"/>
          <w:lang w:eastAsia="zh-CN"/>
        </w:rPr>
        <w:t>息县第二十小报告大厅装修改造工程项目</w:t>
      </w:r>
    </w:p>
    <w:p>
      <w:pPr>
        <w:keepNext w:val="0"/>
        <w:keepLines w:val="0"/>
        <w:pageBreakBefore w:val="0"/>
        <w:kinsoku/>
        <w:overflowPunct/>
        <w:topLinePunct w:val="0"/>
        <w:bidi w:val="0"/>
        <w:snapToGrid/>
        <w:spacing w:line="500" w:lineRule="exact"/>
        <w:ind w:firstLine="840" w:firstLineChars="35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第三标段：</w:t>
      </w:r>
      <w:r>
        <w:rPr>
          <w:rFonts w:hint="eastAsia" w:ascii="宋体" w:hAnsi="宋体" w:eastAsia="宋体" w:cs="宋体"/>
          <w:color w:val="auto"/>
          <w:sz w:val="24"/>
          <w:szCs w:val="24"/>
          <w:lang w:val="en-US" w:eastAsia="zh-CN"/>
        </w:rPr>
        <w:t>2022年</w:t>
      </w:r>
      <w:r>
        <w:rPr>
          <w:rFonts w:hint="eastAsia" w:ascii="宋体" w:hAnsi="宋体" w:eastAsia="宋体" w:cs="宋体"/>
          <w:color w:val="auto"/>
          <w:sz w:val="24"/>
          <w:szCs w:val="24"/>
          <w:lang w:eastAsia="zh-CN"/>
        </w:rPr>
        <w:t>息县第二十小学图书采购项目</w:t>
      </w:r>
    </w:p>
    <w:p>
      <w:pPr>
        <w:keepNext w:val="0"/>
        <w:keepLines w:val="0"/>
        <w:pageBreakBefore w:val="0"/>
        <w:kinsoku/>
        <w:overflowPunct/>
        <w:topLinePunct w:val="0"/>
        <w:bidi w:val="0"/>
        <w:snapToGrid/>
        <w:spacing w:line="500" w:lineRule="exact"/>
        <w:ind w:firstLine="420" w:firstLineChars="175"/>
        <w:jc w:val="left"/>
        <w:textAlignment w:val="auto"/>
        <w:rPr>
          <w:rFonts w:hint="eastAsia" w:ascii="宋体" w:hAnsi="宋体" w:cs="宋体"/>
          <w:color w:val="000000"/>
          <w:sz w:val="24"/>
          <w:szCs w:val="24"/>
          <w:highlight w:val="none"/>
          <w:lang w:eastAsia="zh-CN"/>
        </w:rPr>
      </w:pPr>
      <w:r>
        <w:rPr>
          <w:rFonts w:hint="eastAsia" w:ascii="宋体" w:hAnsi="宋体" w:eastAsia="宋体" w:cs="宋体"/>
          <w:sz w:val="24"/>
          <w:szCs w:val="24"/>
          <w:highlight w:val="none"/>
        </w:rPr>
        <w:t>6.合同履行期限：</w:t>
      </w:r>
      <w:r>
        <w:rPr>
          <w:rFonts w:hint="eastAsia" w:ascii="宋体" w:hAnsi="宋体" w:cs="宋体"/>
          <w:color w:val="000000"/>
          <w:sz w:val="24"/>
          <w:szCs w:val="24"/>
          <w:highlight w:val="none"/>
          <w:lang w:eastAsia="zh-CN"/>
        </w:rPr>
        <w:t>同工期要求</w:t>
      </w:r>
    </w:p>
    <w:p>
      <w:pPr>
        <w:keepNext w:val="0"/>
        <w:keepLines w:val="0"/>
        <w:pageBreakBefore w:val="0"/>
        <w:kinsoku/>
        <w:overflowPunct/>
        <w:topLinePunct w:val="0"/>
        <w:bidi w:val="0"/>
        <w:snapToGrid/>
        <w:spacing w:line="500" w:lineRule="exact"/>
        <w:ind w:firstLine="420" w:firstLineChars="175"/>
        <w:jc w:val="left"/>
        <w:textAlignment w:val="auto"/>
        <w:rPr>
          <w:rFonts w:ascii="宋体" w:hAnsi="宋体" w:cs="宋体"/>
          <w:sz w:val="24"/>
          <w:szCs w:val="24"/>
        </w:rPr>
      </w:pPr>
      <w:r>
        <w:rPr>
          <w:rFonts w:hint="eastAsia" w:ascii="宋体" w:hAnsi="宋体" w:cs="宋体"/>
          <w:sz w:val="24"/>
          <w:szCs w:val="24"/>
        </w:rPr>
        <w:t>7.本项目（是/否）接受联合体投标：否</w:t>
      </w:r>
    </w:p>
    <w:p>
      <w:pPr>
        <w:pStyle w:val="24"/>
        <w:keepNext w:val="0"/>
        <w:keepLines w:val="0"/>
        <w:pageBreakBefore w:val="0"/>
        <w:kinsoku/>
        <w:overflowPunct/>
        <w:topLinePunct w:val="0"/>
        <w:bidi w:val="0"/>
        <w:snapToGrid/>
        <w:spacing w:after="0" w:line="500" w:lineRule="exact"/>
        <w:ind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8.是否接受进口产品：否</w:t>
      </w:r>
    </w:p>
    <w:p>
      <w:pPr>
        <w:pStyle w:val="5"/>
        <w:keepNext w:val="0"/>
        <w:keepLines w:val="0"/>
        <w:pageBreakBefore w:val="0"/>
        <w:kinsoku/>
        <w:overflowPunct/>
        <w:topLinePunct w:val="0"/>
        <w:bidi w:val="0"/>
        <w:snapToGrid/>
        <w:spacing w:before="0" w:after="0" w:line="500" w:lineRule="exact"/>
        <w:ind w:firstLine="480" w:firstLineChars="200"/>
        <w:jc w:val="left"/>
        <w:textAlignment w:val="auto"/>
        <w:rPr>
          <w:rFonts w:hint="default" w:ascii="宋体" w:hAnsi="宋体" w:eastAsia="宋体" w:cs="宋体"/>
          <w:b w:val="0"/>
          <w:bCs/>
          <w:sz w:val="24"/>
          <w:szCs w:val="24"/>
          <w:highlight w:val="none"/>
          <w:lang w:val="en-US" w:eastAsia="zh-CN"/>
        </w:rPr>
      </w:pPr>
      <w:bookmarkStart w:id="53" w:name="_Toc12716"/>
      <w:bookmarkStart w:id="54" w:name="_Toc12656"/>
      <w:bookmarkStart w:id="55" w:name="_Toc16799"/>
      <w:bookmarkStart w:id="56" w:name="_Toc22053"/>
      <w:bookmarkStart w:id="57" w:name="_Toc12685"/>
      <w:bookmarkStart w:id="58" w:name="_Toc20433"/>
      <w:bookmarkStart w:id="59" w:name="_Toc8027"/>
      <w:bookmarkStart w:id="60" w:name="_Toc916"/>
      <w:bookmarkStart w:id="61" w:name="_Toc19286"/>
      <w:bookmarkStart w:id="62" w:name="_Toc16374"/>
      <w:bookmarkStart w:id="63" w:name="_Toc11074"/>
      <w:bookmarkStart w:id="64" w:name="_Toc18482"/>
      <w:r>
        <w:rPr>
          <w:rFonts w:hint="eastAsia" w:ascii="宋体" w:hAnsi="宋体" w:eastAsia="宋体" w:cs="宋体"/>
          <w:b w:val="0"/>
          <w:bCs/>
          <w:sz w:val="24"/>
          <w:szCs w:val="24"/>
          <w:highlight w:val="none"/>
        </w:rPr>
        <w:t>9.是否专门面向中小企业：</w:t>
      </w:r>
      <w:r>
        <w:rPr>
          <w:rFonts w:hint="eastAsia" w:eastAsia="宋体" w:cs="宋体"/>
          <w:b w:val="0"/>
          <w:bCs/>
          <w:sz w:val="24"/>
          <w:szCs w:val="24"/>
          <w:highlight w:val="none"/>
          <w:lang w:eastAsia="zh-CN"/>
        </w:rPr>
        <w:t>是</w:t>
      </w:r>
      <w:bookmarkEnd w:id="53"/>
      <w:bookmarkEnd w:id="54"/>
      <w:bookmarkEnd w:id="55"/>
    </w:p>
    <w:p>
      <w:pPr>
        <w:pStyle w:val="5"/>
        <w:keepNext w:val="0"/>
        <w:keepLines w:val="0"/>
        <w:pageBreakBefore w:val="0"/>
        <w:kinsoku/>
        <w:overflowPunct/>
        <w:topLinePunct w:val="0"/>
        <w:bidi w:val="0"/>
        <w:snapToGrid/>
        <w:spacing w:before="0" w:after="0" w:line="500" w:lineRule="exact"/>
        <w:ind w:firstLine="0" w:firstLineChars="0"/>
        <w:jc w:val="left"/>
        <w:textAlignment w:val="auto"/>
        <w:rPr>
          <w:rFonts w:eastAsia="宋体" w:cs="宋体"/>
          <w:bCs/>
          <w:sz w:val="24"/>
          <w:szCs w:val="24"/>
          <w:highlight w:val="none"/>
        </w:rPr>
      </w:pPr>
      <w:bookmarkStart w:id="65" w:name="_Toc32548"/>
      <w:bookmarkStart w:id="66" w:name="_Toc10587"/>
      <w:bookmarkStart w:id="67" w:name="_Toc11004"/>
      <w:r>
        <w:rPr>
          <w:rFonts w:hint="eastAsia" w:eastAsia="宋体" w:cs="宋体"/>
          <w:bCs/>
          <w:sz w:val="24"/>
          <w:szCs w:val="24"/>
          <w:highlight w:val="none"/>
        </w:rPr>
        <w:t>二、申请人的资格要求</w:t>
      </w:r>
      <w:bookmarkEnd w:id="48"/>
      <w:bookmarkEnd w:id="49"/>
      <w:bookmarkEnd w:id="50"/>
      <w:bookmarkEnd w:id="51"/>
      <w:bookmarkEnd w:id="52"/>
      <w:bookmarkEnd w:id="56"/>
      <w:bookmarkEnd w:id="57"/>
      <w:bookmarkEnd w:id="58"/>
      <w:bookmarkEnd w:id="59"/>
      <w:bookmarkEnd w:id="60"/>
      <w:bookmarkEnd w:id="61"/>
      <w:bookmarkEnd w:id="62"/>
      <w:bookmarkEnd w:id="63"/>
      <w:bookmarkEnd w:id="64"/>
      <w:bookmarkEnd w:id="65"/>
      <w:bookmarkEnd w:id="66"/>
      <w:bookmarkEnd w:id="67"/>
    </w:p>
    <w:p>
      <w:pPr>
        <w:keepNext w:val="0"/>
        <w:keepLines w:val="0"/>
        <w:pageBreakBefore w:val="0"/>
        <w:kinsoku/>
        <w:overflowPunct/>
        <w:topLinePunct w:val="0"/>
        <w:bidi w:val="0"/>
        <w:snapToGrid/>
        <w:spacing w:line="500" w:lineRule="exact"/>
        <w:ind w:firstLine="482"/>
        <w:jc w:val="left"/>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pPr>
        <w:keepNext w:val="0"/>
        <w:keepLines w:val="0"/>
        <w:pageBreakBefore w:val="0"/>
        <w:kinsoku/>
        <w:overflowPunct/>
        <w:topLinePunct w:val="0"/>
        <w:bidi w:val="0"/>
        <w:snapToGrid/>
        <w:spacing w:line="500" w:lineRule="exact"/>
        <w:ind w:firstLine="482"/>
        <w:jc w:val="left"/>
        <w:textAlignment w:val="auto"/>
        <w:rPr>
          <w:rFonts w:ascii="宋体" w:hAnsi="宋体" w:eastAsia="宋体" w:cs="宋体"/>
          <w:b/>
          <w:bCs/>
          <w:sz w:val="24"/>
          <w:szCs w:val="24"/>
          <w:highlight w:val="none"/>
        </w:rPr>
      </w:pPr>
      <w:bookmarkStart w:id="68" w:name="_Toc28359081"/>
      <w:bookmarkStart w:id="69" w:name="_Toc28359004"/>
      <w:r>
        <w:rPr>
          <w:rFonts w:hint="eastAsia" w:ascii="宋体" w:hAnsi="宋体" w:eastAsia="宋体" w:cs="宋体"/>
          <w:b/>
          <w:bCs/>
          <w:sz w:val="24"/>
          <w:szCs w:val="24"/>
          <w:highlight w:val="none"/>
        </w:rPr>
        <w:t>2.落实政府采购政策需满足的资格要求：本项目专门面向中小企业采购。</w:t>
      </w:r>
    </w:p>
    <w:p>
      <w:pPr>
        <w:keepNext w:val="0"/>
        <w:keepLines w:val="0"/>
        <w:pageBreakBefore w:val="0"/>
        <w:kinsoku/>
        <w:overflowPunct/>
        <w:topLinePunct w:val="0"/>
        <w:bidi w:val="0"/>
        <w:snapToGrid/>
        <w:spacing w:line="50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本项目落实自主创新产业发展、绿色发展、节能环保、保护环境、扶持不发达地区和少数民族地区、促进中小微企业、监狱企业及残疾人福利性单位发展等政府采购政策。</w:t>
      </w:r>
    </w:p>
    <w:p>
      <w:pPr>
        <w:keepNext w:val="0"/>
        <w:keepLines w:val="0"/>
        <w:pageBreakBefore w:val="0"/>
        <w:kinsoku/>
        <w:overflowPunct/>
        <w:topLinePunct w:val="0"/>
        <w:bidi w:val="0"/>
        <w:snapToGrid/>
        <w:spacing w:line="500" w:lineRule="exact"/>
        <w:ind w:firstLine="482"/>
        <w:jc w:val="left"/>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rPr>
        <w:t>3.本项目的特定资格要求：</w:t>
      </w:r>
    </w:p>
    <w:p>
      <w:pPr>
        <w:pStyle w:val="5"/>
        <w:keepNext w:val="0"/>
        <w:keepLines w:val="0"/>
        <w:pageBreakBefore w:val="0"/>
        <w:widowControl/>
        <w:kinsoku/>
        <w:overflowPunct/>
        <w:topLinePunct w:val="0"/>
        <w:bidi w:val="0"/>
        <w:snapToGrid/>
        <w:spacing w:before="0" w:after="0" w:line="500" w:lineRule="exact"/>
        <w:ind w:firstLine="480"/>
        <w:jc w:val="left"/>
        <w:textAlignment w:val="auto"/>
        <w:rPr>
          <w:rFonts w:hint="eastAsia" w:ascii="宋体" w:hAnsi="宋体" w:eastAsia="宋体" w:cs="宋体"/>
          <w:b/>
          <w:bCs/>
          <w:kern w:val="2"/>
          <w:sz w:val="24"/>
          <w:szCs w:val="24"/>
          <w:lang w:val="en-US" w:eastAsia="zh-CN" w:bidi="ar-SA"/>
        </w:rPr>
      </w:pPr>
      <w:bookmarkStart w:id="70" w:name="_Toc20579"/>
      <w:bookmarkStart w:id="71" w:name="_Toc3877"/>
      <w:bookmarkStart w:id="72" w:name="_Toc23879"/>
      <w:r>
        <w:rPr>
          <w:rFonts w:hint="eastAsia" w:ascii="宋体" w:hAnsi="宋体" w:eastAsia="宋体" w:cs="宋体"/>
          <w:b/>
          <w:bCs/>
          <w:kern w:val="2"/>
          <w:sz w:val="24"/>
          <w:szCs w:val="24"/>
          <w:lang w:val="en-US" w:eastAsia="zh-CN" w:bidi="ar-SA"/>
        </w:rPr>
        <w:t>3.1资质要求：</w:t>
      </w:r>
      <w:bookmarkEnd w:id="70"/>
      <w:bookmarkEnd w:id="71"/>
      <w:bookmarkEnd w:id="72"/>
    </w:p>
    <w:p>
      <w:pPr>
        <w:keepNext w:val="0"/>
        <w:keepLines w:val="0"/>
        <w:pageBreakBefore w:val="0"/>
        <w:kinsoku/>
        <w:overflowPunct/>
        <w:topLinePunct w:val="0"/>
        <w:bidi w:val="0"/>
        <w:snapToGrid/>
        <w:spacing w:line="500" w:lineRule="exact"/>
        <w:ind w:firstLine="480"/>
        <w:jc w:val="left"/>
        <w:textAlignment w:val="auto"/>
        <w:rPr>
          <w:rFonts w:hint="eastAsia" w:ascii="宋体" w:hAnsi="宋体" w:eastAsia="宋体" w:cs="宋体"/>
          <w:sz w:val="24"/>
          <w:szCs w:val="24"/>
          <w:lang w:val="en-US" w:eastAsia="zh-CN"/>
        </w:rPr>
      </w:pPr>
      <w:r>
        <w:rPr>
          <w:rFonts w:hint="eastAsia" w:cs="宋体"/>
          <w:sz w:val="24"/>
          <w:szCs w:val="24"/>
          <w:highlight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第二标段：</w:t>
      </w:r>
      <w:r>
        <w:rPr>
          <w:rFonts w:hint="eastAsia" w:ascii="宋体" w:hAnsi="宋体" w:eastAsia="宋体" w:cs="宋体"/>
          <w:sz w:val="24"/>
          <w:szCs w:val="24"/>
          <w:lang w:val="en-US" w:eastAsia="zh-CN"/>
        </w:rPr>
        <w:t>投标供应商须具有建筑工程施工总承包叁级及以上资质或建筑装饰装修专业承包贰级及以上资质，具有有效的安全生产许可证；拟派项目经理须具备相关专业贰级（含贰级）及以上注册建造师资格证书及有效合格的安全生产考核合格证，且未担任其他在施建设项目；</w:t>
      </w:r>
    </w:p>
    <w:p>
      <w:pPr>
        <w:keepNext w:val="0"/>
        <w:keepLines w:val="0"/>
        <w:pageBreakBefore w:val="0"/>
        <w:kinsoku/>
        <w:overflowPunct/>
        <w:topLinePunct w:val="0"/>
        <w:bidi w:val="0"/>
        <w:snapToGrid/>
        <w:spacing w:line="500" w:lineRule="exact"/>
        <w:ind w:firstLine="964" w:firstLineChars="4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第三标段：</w:t>
      </w:r>
      <w:r>
        <w:rPr>
          <w:rFonts w:hint="eastAsia" w:ascii="宋体" w:hAnsi="宋体" w:eastAsia="宋体" w:cs="宋体"/>
          <w:b w:val="0"/>
          <w:bCs w:val="0"/>
          <w:sz w:val="24"/>
          <w:szCs w:val="24"/>
          <w:lang w:val="en-US" w:eastAsia="zh-CN"/>
        </w:rPr>
        <w:t>投标供应商</w:t>
      </w:r>
      <w:r>
        <w:rPr>
          <w:rFonts w:hint="eastAsia" w:ascii="宋体" w:hAnsi="宋体" w:eastAsia="宋体" w:cs="宋体"/>
          <w:sz w:val="24"/>
          <w:szCs w:val="24"/>
          <w:lang w:val="en-US" w:eastAsia="zh-CN"/>
        </w:rPr>
        <w:t>应具有新闻出版管理部门颁发的《中华人民共和国出版物经营许可证》或《中华人民共和国出版物发行许可证》。</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eastAsia="宋体" w:cs="宋体"/>
          <w:b/>
          <w:bCs w:val="0"/>
          <w:sz w:val="24"/>
          <w:szCs w:val="24"/>
          <w:highlight w:val="none"/>
        </w:rPr>
      </w:pPr>
      <w:r>
        <w:rPr>
          <w:rFonts w:hint="eastAsia" w:ascii="宋体" w:hAnsi="宋体" w:eastAsia="宋体" w:cs="宋体"/>
          <w:b/>
          <w:bCs/>
          <w:sz w:val="24"/>
          <w:szCs w:val="24"/>
          <w:lang w:val="en-US" w:eastAsia="zh-CN"/>
        </w:rPr>
        <w:t>3.2</w:t>
      </w:r>
      <w:r>
        <w:rPr>
          <w:rFonts w:hint="eastAsia" w:ascii="宋体" w:hAnsi="宋体" w:eastAsia="宋体" w:cs="宋体"/>
          <w:sz w:val="24"/>
          <w:szCs w:val="24"/>
        </w:rPr>
        <w:t>单位负责人</w:t>
      </w:r>
      <w:r>
        <w:rPr>
          <w:rFonts w:hint="eastAsia" w:eastAsia="宋体" w:cs="宋体"/>
          <w:b w:val="0"/>
          <w:bCs/>
          <w:sz w:val="24"/>
          <w:szCs w:val="24"/>
          <w:highlight w:val="none"/>
        </w:rPr>
        <w:t>为同一人或者存在直接控股、管理关系的不同单位，不得同时参加同一合同项下的政府采购活动；</w:t>
      </w:r>
      <w:r>
        <w:rPr>
          <w:rFonts w:hint="eastAsia" w:eastAsia="宋体" w:cs="宋体"/>
          <w:b/>
          <w:bCs w:val="0"/>
          <w:sz w:val="24"/>
          <w:szCs w:val="24"/>
          <w:highlight w:val="none"/>
        </w:rPr>
        <w:t>【提供“国家企业信用信息公示系统”中公示的公司基础信息包含股东及出资信息截图】</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3.3</w:t>
      </w:r>
      <w:r>
        <w:rPr>
          <w:rFonts w:hint="eastAsia" w:ascii="宋体" w:hAnsi="宋体" w:eastAsia="宋体" w:cs="宋体"/>
          <w:b/>
          <w:bCs/>
          <w:sz w:val="24"/>
          <w:szCs w:val="28"/>
          <w:highlight w:val="none"/>
        </w:rPr>
        <w:t>本项目适用信用承诺（详见下述要求）。</w:t>
      </w:r>
    </w:p>
    <w:p>
      <w:pPr>
        <w:keepNext w:val="0"/>
        <w:keepLines w:val="0"/>
        <w:pageBreakBefore w:val="0"/>
        <w:kinsoku/>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六</w:t>
      </w:r>
      <w:r>
        <w:rPr>
          <w:rFonts w:hint="eastAsia" w:ascii="宋体" w:hAnsi="宋体" w:cs="宋体"/>
          <w:sz w:val="24"/>
          <w:szCs w:val="24"/>
          <w:highlight w:val="none"/>
        </w:rPr>
        <w:t>、资格审查资料”附件），供应商只需在资格审查环节提供满足相应条件的书面承诺书，不再需要提供以下证明材料：</w:t>
      </w:r>
    </w:p>
    <w:p>
      <w:pPr>
        <w:keepNext w:val="0"/>
        <w:keepLines w:val="0"/>
        <w:pageBreakBefore w:val="0"/>
        <w:kinsoku/>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w:t>
      </w: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年度或202</w:t>
      </w:r>
      <w:r>
        <w:rPr>
          <w:rFonts w:hint="eastAsia" w:ascii="宋体" w:hAnsi="宋体" w:cs="宋体"/>
          <w:sz w:val="24"/>
          <w:szCs w:val="24"/>
          <w:lang w:val="en-US" w:eastAsia="zh-CN"/>
        </w:rPr>
        <w:t>2</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r>
        <w:rPr>
          <w:rFonts w:hint="eastAsia" w:ascii="宋体" w:hAnsi="宋体" w:cs="宋体"/>
          <w:sz w:val="24"/>
          <w:szCs w:val="24"/>
          <w:highlight w:val="none"/>
        </w:rPr>
        <w:t>）；</w:t>
      </w:r>
    </w:p>
    <w:p>
      <w:pPr>
        <w:keepNext w:val="0"/>
        <w:keepLines w:val="0"/>
        <w:pageBreakBefore w:val="0"/>
        <w:kinsoku/>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rPr>
        <w:t>依法免税或不需要缴纳社会保障资金的供应商，应提供相应文件证明</w:t>
      </w:r>
      <w:r>
        <w:rPr>
          <w:rFonts w:hint="eastAsia" w:ascii="宋体" w:hAnsi="宋体" w:cs="宋体"/>
          <w:sz w:val="24"/>
          <w:szCs w:val="24"/>
          <w:highlight w:val="none"/>
        </w:rPr>
        <w:t>）；</w:t>
      </w:r>
    </w:p>
    <w:p>
      <w:pPr>
        <w:keepNext w:val="0"/>
        <w:keepLines w:val="0"/>
        <w:pageBreakBefore w:val="0"/>
        <w:kinsoku/>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rPr>
        <w:t>依法免税或不需要缴纳社会保障资金的供应商，应提供相应文件证明</w:t>
      </w:r>
      <w:r>
        <w:rPr>
          <w:rFonts w:hint="eastAsia" w:ascii="宋体" w:hAnsi="宋体" w:cs="宋体"/>
          <w:sz w:val="24"/>
          <w:szCs w:val="24"/>
          <w:highlight w:val="none"/>
        </w:rPr>
        <w:t>）；</w:t>
      </w:r>
    </w:p>
    <w:p>
      <w:pPr>
        <w:keepNext w:val="0"/>
        <w:keepLines w:val="0"/>
        <w:pageBreakBefore w:val="0"/>
        <w:kinsoku/>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val="en-US" w:eastAsia="zh-CN"/>
        </w:rPr>
        <w:t>及承诺书</w:t>
      </w:r>
      <w:r>
        <w:rPr>
          <w:rFonts w:hint="eastAsia" w:ascii="宋体" w:hAnsi="宋体" w:cs="宋体"/>
          <w:sz w:val="24"/>
          <w:szCs w:val="24"/>
          <w:highlight w:val="none"/>
        </w:rPr>
        <w:t>）；</w:t>
      </w:r>
    </w:p>
    <w:p>
      <w:pPr>
        <w:keepNext w:val="0"/>
        <w:keepLines w:val="0"/>
        <w:pageBreakBefore w:val="0"/>
        <w:kinsoku/>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⑤参加政府采购活动前三年内在经营活动中没有重大违法记录的证明材料（默认</w:t>
      </w:r>
      <w:r>
        <w:rPr>
          <w:rFonts w:hint="eastAsia" w:ascii="宋体" w:hAnsi="宋体" w:cs="宋体"/>
          <w:sz w:val="24"/>
          <w:szCs w:val="24"/>
          <w:highlight w:val="none"/>
          <w:lang w:eastAsia="zh-CN"/>
        </w:rPr>
        <w:t>书面</w:t>
      </w:r>
      <w:r>
        <w:rPr>
          <w:rFonts w:hint="eastAsia" w:ascii="宋体" w:hAnsi="宋体" w:cs="宋体"/>
          <w:sz w:val="24"/>
          <w:szCs w:val="24"/>
          <w:highlight w:val="none"/>
          <w:lang w:val="en-US" w:eastAsia="zh-CN"/>
        </w:rPr>
        <w:t>声明</w:t>
      </w:r>
      <w:r>
        <w:rPr>
          <w:rFonts w:hint="eastAsia" w:ascii="宋体" w:hAnsi="宋体" w:cs="宋体"/>
          <w:sz w:val="24"/>
          <w:szCs w:val="24"/>
          <w:highlight w:val="none"/>
        </w:rPr>
        <w:t>）；</w:t>
      </w:r>
    </w:p>
    <w:p>
      <w:pPr>
        <w:keepNext w:val="0"/>
        <w:keepLines w:val="0"/>
        <w:pageBreakBefore w:val="0"/>
        <w:kinsoku/>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⑥未被列入失信被执行人、重大税收违法案件当事人名单政府采购严重违法失信行为记录名单的证明材料（默认</w:t>
      </w:r>
      <w:r>
        <w:rPr>
          <w:rFonts w:hint="eastAsia" w:ascii="宋体" w:hAnsi="宋体" w:cs="宋体"/>
          <w:sz w:val="24"/>
          <w:szCs w:val="24"/>
          <w:highlight w:val="none"/>
          <w:lang w:eastAsia="zh-CN"/>
        </w:rPr>
        <w:t>网页截图</w:t>
      </w:r>
      <w:r>
        <w:rPr>
          <w:rFonts w:hint="eastAsia" w:ascii="宋体" w:hAnsi="宋体" w:cs="宋体"/>
          <w:sz w:val="24"/>
          <w:szCs w:val="24"/>
          <w:highlight w:val="none"/>
        </w:rPr>
        <w:t>）；</w:t>
      </w:r>
    </w:p>
    <w:p>
      <w:pPr>
        <w:keepNext w:val="0"/>
        <w:keepLines w:val="0"/>
        <w:pageBreakBefore w:val="0"/>
        <w:kinsoku/>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pPr>
        <w:pStyle w:val="5"/>
        <w:keepNext w:val="0"/>
        <w:keepLines w:val="0"/>
        <w:pageBreakBefore w:val="0"/>
        <w:kinsoku/>
        <w:overflowPunct/>
        <w:topLinePunct w:val="0"/>
        <w:bidi w:val="0"/>
        <w:snapToGrid/>
        <w:spacing w:before="0" w:after="0" w:line="500" w:lineRule="exact"/>
        <w:ind w:firstLine="0" w:firstLineChars="0"/>
        <w:jc w:val="left"/>
        <w:textAlignment w:val="auto"/>
        <w:rPr>
          <w:rFonts w:eastAsia="宋体" w:cs="宋体"/>
          <w:bCs/>
          <w:sz w:val="24"/>
          <w:szCs w:val="24"/>
        </w:rPr>
      </w:pPr>
      <w:bookmarkStart w:id="73" w:name="_Toc14521"/>
      <w:bookmarkStart w:id="74" w:name="_Toc35393792"/>
      <w:bookmarkStart w:id="75" w:name="_Toc35393623"/>
      <w:bookmarkStart w:id="76" w:name="_Toc10865"/>
      <w:bookmarkStart w:id="77" w:name="_Toc20064"/>
      <w:bookmarkStart w:id="78" w:name="_Toc32045"/>
      <w:bookmarkStart w:id="79" w:name="_Toc5381"/>
      <w:bookmarkStart w:id="80" w:name="_Toc16528"/>
      <w:bookmarkStart w:id="81" w:name="_Toc24912"/>
      <w:bookmarkStart w:id="82" w:name="_Toc16223"/>
      <w:bookmarkStart w:id="83" w:name="_Toc32093"/>
      <w:bookmarkStart w:id="84" w:name="_Toc20474"/>
      <w:bookmarkStart w:id="85" w:name="_Toc28101"/>
      <w:bookmarkStart w:id="86" w:name="_Toc14354"/>
      <w:bookmarkStart w:id="87" w:name="_Toc19593"/>
      <w:r>
        <w:rPr>
          <w:rFonts w:hint="eastAsia" w:eastAsia="宋体" w:cs="宋体"/>
          <w:bCs/>
          <w:sz w:val="24"/>
          <w:szCs w:val="24"/>
        </w:rPr>
        <w:t>三、获取招标文件</w:t>
      </w:r>
      <w:bookmarkEnd w:id="68"/>
      <w:bookmarkEnd w:id="69"/>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kinsoku/>
        <w:overflowPunct/>
        <w:topLinePunct w:val="0"/>
        <w:bidi w:val="0"/>
        <w:snapToGrid/>
        <w:spacing w:line="500" w:lineRule="exact"/>
        <w:ind w:firstLine="48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kern w:val="0"/>
          <w:sz w:val="24"/>
          <w:szCs w:val="24"/>
          <w:highlight w:val="none"/>
          <w:u w:val="single"/>
          <w:shd w:val="clear" w:color="auto" w:fill="FFFFFF"/>
        </w:rPr>
        <w:t xml:space="preserve">  202</w:t>
      </w:r>
      <w:r>
        <w:rPr>
          <w:rFonts w:hint="eastAsia" w:ascii="宋体" w:hAnsi="宋体" w:eastAsia="宋体" w:cs="宋体"/>
          <w:kern w:val="0"/>
          <w:sz w:val="24"/>
          <w:szCs w:val="24"/>
          <w:highlight w:val="none"/>
          <w:u w:val="single"/>
          <w:shd w:val="clear" w:color="auto" w:fill="FFFFFF"/>
          <w:lang w:val="en-US" w:eastAsia="zh-CN"/>
        </w:rPr>
        <w:t>3</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03</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27</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日00时00分至</w:t>
      </w:r>
      <w:r>
        <w:rPr>
          <w:rFonts w:hint="eastAsia" w:ascii="宋体" w:hAnsi="宋体" w:eastAsia="宋体" w:cs="宋体"/>
          <w:kern w:val="0"/>
          <w:sz w:val="24"/>
          <w:szCs w:val="24"/>
          <w:highlight w:val="none"/>
          <w:u w:val="single"/>
          <w:shd w:val="clear" w:color="auto" w:fill="FFFFFF"/>
        </w:rPr>
        <w:t xml:space="preserve">  202</w:t>
      </w:r>
      <w:r>
        <w:rPr>
          <w:rFonts w:hint="eastAsia" w:ascii="宋体" w:hAnsi="宋体" w:eastAsia="宋体" w:cs="宋体"/>
          <w:kern w:val="0"/>
          <w:sz w:val="24"/>
          <w:szCs w:val="24"/>
          <w:highlight w:val="none"/>
          <w:u w:val="single"/>
          <w:shd w:val="clear" w:color="auto" w:fill="FFFFFF"/>
          <w:lang w:val="en-US" w:eastAsia="zh-CN"/>
        </w:rPr>
        <w:t>3</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03</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31</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shd w:val="clear" w:color="auto" w:fill="FFFFFF"/>
        </w:rPr>
        <w:t>23时59分</w:t>
      </w:r>
      <w:r>
        <w:rPr>
          <w:rFonts w:hint="eastAsia" w:ascii="宋体" w:hAnsi="宋体" w:eastAsia="宋体" w:cs="宋体"/>
          <w:sz w:val="24"/>
          <w:szCs w:val="24"/>
          <w:highlight w:val="none"/>
        </w:rPr>
        <w:t>（北京时间，法定节假日除外）</w:t>
      </w:r>
    </w:p>
    <w:p>
      <w:pPr>
        <w:keepNext w:val="0"/>
        <w:keepLines w:val="0"/>
        <w:pageBreakBefore w:val="0"/>
        <w:kinsoku/>
        <w:overflowPunct/>
        <w:topLinePunct w:val="0"/>
        <w:bidi w:val="0"/>
        <w:snapToGrid/>
        <w:spacing w:line="500" w:lineRule="exact"/>
        <w:ind w:firstLine="480"/>
        <w:jc w:val="left"/>
        <w:textAlignment w:val="auto"/>
        <w:rPr>
          <w:rFonts w:ascii="宋体" w:hAnsi="宋体" w:cs="宋体"/>
          <w:sz w:val="24"/>
          <w:szCs w:val="24"/>
          <w:u w:val="single"/>
        </w:rPr>
      </w:pPr>
      <w:bookmarkStart w:id="88" w:name="_Toc35393627"/>
      <w:bookmarkStart w:id="89" w:name="_Toc35393796"/>
      <w:bookmarkStart w:id="90" w:name="_Toc28359008"/>
      <w:bookmarkStart w:id="91" w:name="_Toc28359085"/>
      <w:bookmarkStart w:id="92" w:name="_Toc28007"/>
      <w:r>
        <w:rPr>
          <w:rFonts w:hint="eastAsia" w:ascii="宋体" w:hAnsi="宋体" w:cs="宋体"/>
          <w:sz w:val="24"/>
          <w:szCs w:val="24"/>
        </w:rPr>
        <w:t>2.地点：全国公共资源交易平台（河南省·息县）官方网站</w:t>
      </w:r>
    </w:p>
    <w:p>
      <w:pPr>
        <w:keepNext w:val="0"/>
        <w:keepLines w:val="0"/>
        <w:pageBreakBefore w:val="0"/>
        <w:kinsoku/>
        <w:overflowPunct/>
        <w:topLinePunct w:val="0"/>
        <w:bidi w:val="0"/>
        <w:snapToGrid/>
        <w:spacing w:line="500" w:lineRule="exact"/>
        <w:ind w:firstLine="480"/>
        <w:jc w:val="left"/>
        <w:textAlignment w:val="auto"/>
        <w:rPr>
          <w:rFonts w:ascii="宋体" w:hAnsi="宋体" w:cs="宋体"/>
          <w:sz w:val="24"/>
          <w:szCs w:val="24"/>
        </w:rPr>
      </w:pPr>
      <w:r>
        <w:rPr>
          <w:rFonts w:hint="eastAsia" w:ascii="宋体" w:hAnsi="宋体" w:cs="宋体"/>
          <w:sz w:val="24"/>
          <w:szCs w:val="24"/>
        </w:rPr>
        <w:t>3.方式：</w:t>
      </w:r>
    </w:p>
    <w:p>
      <w:pPr>
        <w:keepNext w:val="0"/>
        <w:keepLines w:val="0"/>
        <w:pageBreakBefore w:val="0"/>
        <w:kinsoku/>
        <w:overflowPunct/>
        <w:topLinePunct w:val="0"/>
        <w:bidi w:val="0"/>
        <w:snapToGrid/>
        <w:spacing w:line="500" w:lineRule="exact"/>
        <w:ind w:firstLine="480"/>
        <w:jc w:val="left"/>
        <w:textAlignment w:val="auto"/>
        <w:rPr>
          <w:rFonts w:ascii="宋体" w:hAnsi="宋体" w:cs="宋体"/>
          <w:sz w:val="24"/>
          <w:szCs w:val="24"/>
        </w:rPr>
      </w:pPr>
      <w:r>
        <w:rPr>
          <w:rFonts w:hint="eastAsia" w:ascii="宋体" w:hAnsi="宋体" w:cs="宋体"/>
          <w:sz w:val="24"/>
          <w:szCs w:val="24"/>
        </w:rPr>
        <w:t>3.1凡有意参加本项目的投标供应商，请登陆“全国公共资源交易平台（河南省·信阳市）（https://ggzyjy.xinyang.gov.cn/）”网站进行交易主体自主注册，按网站公告通知有关要求填报企业信息并上传有关原件扫描件，不需携带原件到信阳市公共资源交易中心进行审核。</w:t>
      </w:r>
    </w:p>
    <w:p>
      <w:pPr>
        <w:keepNext w:val="0"/>
        <w:keepLines w:val="0"/>
        <w:pageBreakBefore w:val="0"/>
        <w:kinsoku/>
        <w:overflowPunct/>
        <w:topLinePunct w:val="0"/>
        <w:bidi w:val="0"/>
        <w:snapToGrid/>
        <w:spacing w:line="500" w:lineRule="exact"/>
        <w:ind w:firstLine="480"/>
        <w:jc w:val="left"/>
        <w:textAlignment w:val="auto"/>
        <w:rPr>
          <w:rFonts w:ascii="宋体" w:hAnsi="宋体" w:cs="宋体"/>
          <w:sz w:val="24"/>
          <w:szCs w:val="24"/>
        </w:rPr>
      </w:pPr>
      <w:r>
        <w:rPr>
          <w:rFonts w:hint="eastAsia" w:ascii="宋体" w:hAnsi="宋体" w:cs="宋体"/>
          <w:sz w:val="24"/>
          <w:szCs w:val="24"/>
        </w:rPr>
        <w:t>3.2完成企业诚信库注册后，必须办理CA数字证书方可在网上办理招投标相关业务。投标供应商根据息县公共资源交易网下载中心有关办理CA数字证书的要求，准备好CA办理所需资料，到信阳市公共资源交易中心四楼CA窗口现场办理CA数字证书。</w:t>
      </w:r>
    </w:p>
    <w:p>
      <w:pPr>
        <w:keepNext w:val="0"/>
        <w:keepLines w:val="0"/>
        <w:pageBreakBefore w:val="0"/>
        <w:kinsoku/>
        <w:overflowPunct/>
        <w:topLinePunct w:val="0"/>
        <w:bidi w:val="0"/>
        <w:snapToGrid/>
        <w:spacing w:line="500" w:lineRule="exact"/>
        <w:ind w:firstLine="480"/>
        <w:jc w:val="left"/>
        <w:textAlignment w:val="auto"/>
        <w:rPr>
          <w:rFonts w:ascii="宋体" w:hAnsi="宋体" w:cs="宋体"/>
          <w:sz w:val="24"/>
          <w:szCs w:val="24"/>
        </w:rPr>
      </w:pPr>
      <w:r>
        <w:rPr>
          <w:rFonts w:hint="eastAsia" w:ascii="宋体" w:hAnsi="宋体" w:cs="宋体"/>
          <w:sz w:val="24"/>
          <w:szCs w:val="24"/>
        </w:rPr>
        <w:t>3.3投标供应商凭CA数字证书登陆会员系统后，即可按网上提示下载招标文件及资料（操作程序详见信阳市公共资源交易中心网站下载中心栏目里投标供应商操作手册）。招标文件(*.XYZF格式)下载后需使用“信阳市投标文件制作工具软件”打开（该工具软件可在“全国公共资源交易平台（河南省·信阳市）（https://ggzyjy.xinyang.gov.cn/）”网站下载中心栏目内下载或招标文件领取页面下载）。</w:t>
      </w:r>
    </w:p>
    <w:p>
      <w:pPr>
        <w:keepNext w:val="0"/>
        <w:keepLines w:val="0"/>
        <w:pageBreakBefore w:val="0"/>
        <w:numPr>
          <w:ilvl w:val="0"/>
          <w:numId w:val="4"/>
        </w:numPr>
        <w:tabs>
          <w:tab w:val="clear" w:pos="312"/>
        </w:tabs>
        <w:kinsoku/>
        <w:overflowPunct/>
        <w:topLinePunct w:val="0"/>
        <w:bidi w:val="0"/>
        <w:snapToGrid/>
        <w:spacing w:line="500" w:lineRule="exact"/>
        <w:ind w:firstLine="480"/>
        <w:jc w:val="left"/>
        <w:textAlignment w:val="auto"/>
        <w:rPr>
          <w:rFonts w:ascii="宋体" w:hAnsi="宋体" w:cs="宋体"/>
          <w:sz w:val="24"/>
          <w:szCs w:val="24"/>
        </w:rPr>
      </w:pPr>
      <w:r>
        <w:rPr>
          <w:rFonts w:hint="eastAsia" w:ascii="宋体" w:hAnsi="宋体" w:cs="宋体"/>
          <w:sz w:val="24"/>
          <w:szCs w:val="24"/>
        </w:rPr>
        <w:t>售价：0元/份</w:t>
      </w:r>
    </w:p>
    <w:p>
      <w:pPr>
        <w:pStyle w:val="5"/>
        <w:keepNext w:val="0"/>
        <w:keepLines w:val="0"/>
        <w:pageBreakBefore w:val="0"/>
        <w:kinsoku/>
        <w:overflowPunct/>
        <w:topLinePunct w:val="0"/>
        <w:bidi w:val="0"/>
        <w:snapToGrid/>
        <w:spacing w:before="0" w:after="0" w:line="500" w:lineRule="exact"/>
        <w:ind w:firstLine="0" w:firstLineChars="0"/>
        <w:jc w:val="left"/>
        <w:textAlignment w:val="auto"/>
        <w:rPr>
          <w:rFonts w:eastAsia="宋体" w:cs="宋体"/>
          <w:sz w:val="24"/>
          <w:szCs w:val="24"/>
        </w:rPr>
      </w:pPr>
      <w:bookmarkStart w:id="93" w:name="_Toc28359005"/>
      <w:bookmarkStart w:id="94" w:name="_Toc28359082"/>
      <w:bookmarkStart w:id="95" w:name="_Toc35393793"/>
      <w:bookmarkStart w:id="96" w:name="_Toc28659"/>
      <w:bookmarkStart w:id="97" w:name="_Toc11244"/>
      <w:bookmarkStart w:id="98" w:name="_Toc1743"/>
      <w:bookmarkStart w:id="99" w:name="_Toc2214"/>
      <w:bookmarkStart w:id="100" w:name="_Toc22333"/>
      <w:bookmarkStart w:id="101" w:name="_Toc21729"/>
      <w:bookmarkStart w:id="102" w:name="_Toc26456"/>
      <w:bookmarkStart w:id="103" w:name="_Toc12090"/>
      <w:bookmarkStart w:id="104" w:name="_Toc35393624"/>
      <w:bookmarkStart w:id="105" w:name="_Toc25494"/>
      <w:bookmarkStart w:id="106" w:name="_Toc28899"/>
      <w:bookmarkStart w:id="107" w:name="_Toc21182"/>
      <w:bookmarkStart w:id="108" w:name="_Toc18728"/>
      <w:bookmarkStart w:id="109" w:name="_Toc24221"/>
      <w:bookmarkStart w:id="110" w:name="_Toc18756"/>
      <w:r>
        <w:rPr>
          <w:rFonts w:hint="eastAsia" w:eastAsia="宋体" w:cs="宋体"/>
          <w:sz w:val="24"/>
          <w:szCs w:val="24"/>
        </w:rPr>
        <w:t>四、投标</w:t>
      </w:r>
      <w:bookmarkEnd w:id="93"/>
      <w:bookmarkEnd w:id="94"/>
      <w:r>
        <w:rPr>
          <w:rFonts w:hint="eastAsia" w:eastAsia="宋体" w:cs="宋体"/>
          <w:sz w:val="24"/>
          <w:szCs w:val="24"/>
        </w:rPr>
        <w:t>截止时间及地点</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5"/>
        <w:keepNext w:val="0"/>
        <w:keepLines w:val="0"/>
        <w:pageBreakBefore w:val="0"/>
        <w:kinsoku/>
        <w:overflowPunct/>
        <w:topLinePunct w:val="0"/>
        <w:bidi w:val="0"/>
        <w:snapToGrid/>
        <w:spacing w:before="0" w:after="0" w:line="500" w:lineRule="exact"/>
        <w:ind w:firstLine="480"/>
        <w:jc w:val="left"/>
        <w:textAlignment w:val="auto"/>
        <w:rPr>
          <w:rFonts w:hint="eastAsia" w:ascii="宋体" w:hAnsi="宋体" w:eastAsia="宋体" w:cs="宋体"/>
          <w:b w:val="0"/>
          <w:bCs/>
          <w:sz w:val="24"/>
          <w:szCs w:val="24"/>
          <w:highlight w:val="none"/>
        </w:rPr>
      </w:pPr>
      <w:bookmarkStart w:id="111" w:name="_Toc31533"/>
      <w:bookmarkStart w:id="112" w:name="_Toc22570"/>
      <w:bookmarkStart w:id="113" w:name="_Toc11289"/>
      <w:bookmarkStart w:id="114" w:name="_Toc25895"/>
      <w:bookmarkStart w:id="115" w:name="_Toc15839"/>
      <w:bookmarkStart w:id="116" w:name="_Toc2324"/>
      <w:bookmarkStart w:id="117" w:name="_Toc2048"/>
      <w:bookmarkStart w:id="118" w:name="_Toc30596"/>
      <w:bookmarkStart w:id="119" w:name="_Toc22940"/>
      <w:bookmarkStart w:id="120" w:name="_Toc237"/>
      <w:bookmarkStart w:id="121" w:name="_Toc23500"/>
      <w:bookmarkStart w:id="122" w:name="_Toc646"/>
      <w:r>
        <w:rPr>
          <w:rFonts w:hint="eastAsia" w:ascii="宋体" w:hAnsi="宋体" w:eastAsia="宋体" w:cs="宋体"/>
          <w:b w:val="0"/>
          <w:bCs/>
          <w:sz w:val="24"/>
          <w:szCs w:val="24"/>
          <w:highlight w:val="none"/>
        </w:rPr>
        <w:t>1.时间：</w:t>
      </w:r>
      <w:r>
        <w:rPr>
          <w:rFonts w:hint="eastAsia" w:ascii="宋体" w:hAnsi="宋体" w:eastAsia="宋体" w:cs="宋体"/>
          <w:b w:val="0"/>
          <w:bCs/>
          <w:sz w:val="24"/>
          <w:szCs w:val="24"/>
          <w:highlight w:val="none"/>
          <w:u w:val="single"/>
        </w:rPr>
        <w:t xml:space="preserve">  202</w:t>
      </w:r>
      <w:r>
        <w:rPr>
          <w:rFonts w:hint="eastAsia" w:ascii="宋体" w:hAnsi="宋体" w:eastAsia="宋体" w:cs="宋体"/>
          <w:b w:val="0"/>
          <w:bCs/>
          <w:sz w:val="24"/>
          <w:szCs w:val="24"/>
          <w:highlight w:val="none"/>
          <w:u w:val="single"/>
          <w:lang w:val="en-US" w:eastAsia="zh-CN"/>
        </w:rPr>
        <w:t>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4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19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日</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09</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点</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30</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分（北京时间）</w:t>
      </w:r>
      <w:bookmarkEnd w:id="111"/>
      <w:bookmarkEnd w:id="112"/>
      <w:bookmarkEnd w:id="113"/>
      <w:bookmarkEnd w:id="114"/>
      <w:bookmarkEnd w:id="115"/>
      <w:bookmarkEnd w:id="116"/>
      <w:bookmarkEnd w:id="117"/>
      <w:bookmarkEnd w:id="118"/>
      <w:bookmarkEnd w:id="119"/>
      <w:bookmarkEnd w:id="120"/>
      <w:bookmarkEnd w:id="121"/>
      <w:bookmarkEnd w:id="122"/>
    </w:p>
    <w:p>
      <w:pPr>
        <w:pStyle w:val="5"/>
        <w:keepNext w:val="0"/>
        <w:keepLines w:val="0"/>
        <w:pageBreakBefore w:val="0"/>
        <w:kinsoku/>
        <w:overflowPunct/>
        <w:topLinePunct w:val="0"/>
        <w:bidi w:val="0"/>
        <w:snapToGrid/>
        <w:spacing w:before="0" w:after="0" w:line="500" w:lineRule="exact"/>
        <w:ind w:firstLine="480"/>
        <w:jc w:val="left"/>
        <w:textAlignment w:val="auto"/>
        <w:rPr>
          <w:rFonts w:hint="eastAsia" w:ascii="宋体" w:hAnsi="宋体" w:eastAsia="宋体" w:cs="宋体"/>
          <w:b w:val="0"/>
          <w:bCs/>
          <w:sz w:val="24"/>
          <w:szCs w:val="24"/>
          <w:highlight w:val="none"/>
        </w:rPr>
      </w:pPr>
      <w:bookmarkStart w:id="123" w:name="_Toc14587"/>
      <w:bookmarkStart w:id="124" w:name="_Toc28466"/>
      <w:bookmarkStart w:id="125" w:name="_Toc14920"/>
      <w:bookmarkStart w:id="126" w:name="_Toc8921"/>
      <w:bookmarkStart w:id="127" w:name="_Toc28835"/>
      <w:bookmarkStart w:id="128" w:name="_Toc15168"/>
      <w:bookmarkStart w:id="129" w:name="_Toc10231"/>
      <w:bookmarkStart w:id="130" w:name="_Toc328"/>
      <w:bookmarkStart w:id="131" w:name="_Toc23429"/>
      <w:bookmarkStart w:id="132" w:name="_Toc251"/>
      <w:bookmarkStart w:id="133" w:name="_Toc19366"/>
      <w:bookmarkStart w:id="134" w:name="_Toc30392"/>
      <w:r>
        <w:rPr>
          <w:rFonts w:hint="eastAsia" w:ascii="宋体" w:hAnsi="宋体" w:eastAsia="宋体" w:cs="宋体"/>
          <w:b w:val="0"/>
          <w:bCs/>
          <w:sz w:val="24"/>
          <w:szCs w:val="24"/>
          <w:highlight w:val="none"/>
        </w:rPr>
        <w:t>2.地点：全国公共资源交易平台（河南省·息县）不见面开标大厅</w:t>
      </w:r>
      <w:bookmarkEnd w:id="123"/>
      <w:bookmarkEnd w:id="124"/>
      <w:bookmarkEnd w:id="125"/>
      <w:bookmarkEnd w:id="126"/>
      <w:bookmarkEnd w:id="127"/>
      <w:bookmarkEnd w:id="128"/>
      <w:bookmarkEnd w:id="129"/>
      <w:bookmarkEnd w:id="130"/>
      <w:bookmarkEnd w:id="131"/>
      <w:bookmarkEnd w:id="132"/>
      <w:bookmarkEnd w:id="133"/>
      <w:bookmarkEnd w:id="134"/>
    </w:p>
    <w:p>
      <w:pPr>
        <w:pStyle w:val="5"/>
        <w:keepNext w:val="0"/>
        <w:keepLines w:val="0"/>
        <w:pageBreakBefore w:val="0"/>
        <w:kinsoku/>
        <w:overflowPunct/>
        <w:topLinePunct w:val="0"/>
        <w:bidi w:val="0"/>
        <w:snapToGrid/>
        <w:spacing w:before="0" w:after="0" w:line="500" w:lineRule="exact"/>
        <w:ind w:firstLine="480"/>
        <w:jc w:val="left"/>
        <w:textAlignment w:val="auto"/>
        <w:rPr>
          <w:rFonts w:hint="eastAsia" w:ascii="宋体" w:hAnsi="宋体" w:eastAsia="宋体" w:cs="宋体"/>
          <w:b w:val="0"/>
          <w:bCs/>
          <w:sz w:val="24"/>
          <w:szCs w:val="24"/>
        </w:rPr>
      </w:pPr>
      <w:bookmarkStart w:id="135" w:name="_Toc7243"/>
      <w:bookmarkStart w:id="136" w:name="_Toc32545"/>
      <w:bookmarkStart w:id="137" w:name="_Toc31630"/>
      <w:bookmarkStart w:id="138" w:name="_Toc11325"/>
      <w:bookmarkStart w:id="139" w:name="_Toc15874"/>
      <w:bookmarkStart w:id="140" w:name="_Toc28441"/>
      <w:bookmarkStart w:id="141" w:name="_Toc23767"/>
      <w:bookmarkStart w:id="142" w:name="_Toc2182"/>
      <w:bookmarkStart w:id="143" w:name="_Toc1108"/>
      <w:bookmarkStart w:id="144" w:name="_Toc22398"/>
      <w:bookmarkStart w:id="145" w:name="_Toc12389"/>
      <w:r>
        <w:rPr>
          <w:rFonts w:hint="eastAsia" w:ascii="宋体" w:hAnsi="宋体" w:eastAsia="宋体" w:cs="宋体"/>
          <w:b w:val="0"/>
          <w:bCs/>
          <w:sz w:val="24"/>
          <w:szCs w:val="24"/>
        </w:rPr>
        <w:t>3.投标供应商必须在投标截止时间前通过信阳市公共资源交易中心电子招投标系统上传电子投标文件(.XYTF格式)。上传的电子投标文件应使用投标供应商CA数字证书认证并加密。</w:t>
      </w:r>
      <w:bookmarkEnd w:id="135"/>
      <w:bookmarkEnd w:id="136"/>
      <w:bookmarkEnd w:id="137"/>
      <w:bookmarkEnd w:id="138"/>
      <w:bookmarkEnd w:id="139"/>
      <w:bookmarkEnd w:id="140"/>
      <w:bookmarkEnd w:id="141"/>
      <w:bookmarkEnd w:id="142"/>
      <w:bookmarkEnd w:id="143"/>
      <w:bookmarkEnd w:id="144"/>
      <w:bookmarkEnd w:id="145"/>
    </w:p>
    <w:p>
      <w:pPr>
        <w:pStyle w:val="5"/>
        <w:keepNext w:val="0"/>
        <w:keepLines w:val="0"/>
        <w:pageBreakBefore w:val="0"/>
        <w:kinsoku/>
        <w:overflowPunct/>
        <w:topLinePunct w:val="0"/>
        <w:bidi w:val="0"/>
        <w:snapToGrid/>
        <w:spacing w:before="0" w:after="0" w:line="500" w:lineRule="exact"/>
        <w:ind w:firstLine="480"/>
        <w:jc w:val="left"/>
        <w:textAlignment w:val="auto"/>
        <w:rPr>
          <w:rFonts w:hint="eastAsia" w:ascii="宋体" w:hAnsi="宋体" w:eastAsia="宋体" w:cs="宋体"/>
          <w:b w:val="0"/>
          <w:bCs/>
          <w:sz w:val="24"/>
          <w:szCs w:val="24"/>
        </w:rPr>
      </w:pPr>
      <w:bookmarkStart w:id="146" w:name="_Toc1947"/>
      <w:bookmarkStart w:id="147" w:name="_Toc9478"/>
      <w:bookmarkStart w:id="148" w:name="_Toc11600"/>
      <w:bookmarkStart w:id="149" w:name="_Toc16935"/>
      <w:bookmarkStart w:id="150" w:name="_Toc25105"/>
      <w:bookmarkStart w:id="151" w:name="_Toc26272"/>
      <w:bookmarkStart w:id="152" w:name="_Toc194"/>
      <w:bookmarkStart w:id="153" w:name="_Toc17737"/>
      <w:bookmarkStart w:id="154" w:name="_Toc14260"/>
      <w:bookmarkStart w:id="155" w:name="_Toc17779"/>
      <w:bookmarkStart w:id="156" w:name="_Toc16807"/>
      <w:bookmarkStart w:id="157" w:name="_Toc9137"/>
      <w:r>
        <w:rPr>
          <w:rFonts w:hint="eastAsia" w:ascii="宋体" w:hAnsi="宋体" w:eastAsia="宋体" w:cs="宋体"/>
          <w:b w:val="0"/>
          <w:bCs/>
          <w:sz w:val="24"/>
          <w:szCs w:val="24"/>
        </w:rPr>
        <w:t>4.加密电子投标文件逾期上传的</w:t>
      </w:r>
      <w:r>
        <w:rPr>
          <w:rFonts w:hint="eastAsia" w:ascii="宋体" w:hAnsi="宋体" w:eastAsia="宋体" w:cs="宋体"/>
          <w:b w:val="0"/>
          <w:bCs/>
          <w:sz w:val="24"/>
          <w:szCs w:val="24"/>
          <w:lang w:eastAsia="zh-CN"/>
        </w:rPr>
        <w:t>采购人</w:t>
      </w:r>
      <w:r>
        <w:rPr>
          <w:rFonts w:hint="eastAsia" w:ascii="宋体" w:hAnsi="宋体" w:eastAsia="宋体" w:cs="宋体"/>
          <w:b w:val="0"/>
          <w:bCs/>
          <w:sz w:val="24"/>
          <w:szCs w:val="24"/>
        </w:rPr>
        <w:t>不予受理。</w:t>
      </w:r>
      <w:bookmarkEnd w:id="146"/>
      <w:bookmarkEnd w:id="147"/>
      <w:bookmarkEnd w:id="148"/>
      <w:bookmarkEnd w:id="149"/>
      <w:bookmarkEnd w:id="150"/>
      <w:bookmarkEnd w:id="151"/>
      <w:bookmarkEnd w:id="152"/>
      <w:bookmarkEnd w:id="153"/>
      <w:bookmarkEnd w:id="154"/>
      <w:bookmarkEnd w:id="155"/>
      <w:bookmarkEnd w:id="156"/>
      <w:bookmarkEnd w:id="157"/>
    </w:p>
    <w:p>
      <w:pPr>
        <w:pStyle w:val="5"/>
        <w:keepNext w:val="0"/>
        <w:keepLines w:val="0"/>
        <w:pageBreakBefore w:val="0"/>
        <w:kinsoku/>
        <w:overflowPunct/>
        <w:topLinePunct w:val="0"/>
        <w:bidi w:val="0"/>
        <w:snapToGrid/>
        <w:spacing w:before="0" w:after="0" w:line="500" w:lineRule="exact"/>
        <w:ind w:firstLine="0" w:firstLineChars="0"/>
        <w:jc w:val="left"/>
        <w:textAlignment w:val="auto"/>
        <w:rPr>
          <w:rFonts w:hint="eastAsia" w:ascii="宋体" w:hAnsi="宋体" w:eastAsia="宋体" w:cs="宋体"/>
          <w:sz w:val="24"/>
          <w:szCs w:val="24"/>
        </w:rPr>
      </w:pPr>
      <w:bookmarkStart w:id="158" w:name="_Toc2840"/>
      <w:bookmarkStart w:id="159" w:name="_Toc27583"/>
      <w:bookmarkStart w:id="160" w:name="_Toc11178"/>
      <w:bookmarkStart w:id="161" w:name="_Toc7664"/>
      <w:bookmarkStart w:id="162" w:name="_Toc16961"/>
      <w:bookmarkStart w:id="163" w:name="_Toc11661"/>
      <w:bookmarkStart w:id="164" w:name="_Toc1532"/>
      <w:bookmarkStart w:id="165" w:name="_Toc22037"/>
      <w:bookmarkStart w:id="166" w:name="_Toc16686"/>
      <w:bookmarkStart w:id="167" w:name="_Toc28719"/>
      <w:bookmarkStart w:id="168" w:name="_Toc24619"/>
      <w:r>
        <w:rPr>
          <w:rFonts w:hint="eastAsia" w:ascii="宋体" w:hAnsi="宋体" w:eastAsia="宋体" w:cs="宋体"/>
          <w:sz w:val="24"/>
          <w:szCs w:val="24"/>
        </w:rPr>
        <w:t>五、开标时间及地点</w:t>
      </w:r>
      <w:bookmarkEnd w:id="158"/>
      <w:bookmarkEnd w:id="159"/>
      <w:bookmarkEnd w:id="160"/>
      <w:bookmarkEnd w:id="161"/>
      <w:bookmarkEnd w:id="162"/>
      <w:bookmarkEnd w:id="163"/>
      <w:bookmarkEnd w:id="164"/>
      <w:bookmarkEnd w:id="165"/>
      <w:bookmarkEnd w:id="166"/>
      <w:bookmarkEnd w:id="167"/>
      <w:bookmarkEnd w:id="168"/>
    </w:p>
    <w:p>
      <w:pPr>
        <w:pStyle w:val="5"/>
        <w:keepNext w:val="0"/>
        <w:keepLines w:val="0"/>
        <w:pageBreakBefore w:val="0"/>
        <w:kinsoku/>
        <w:overflowPunct/>
        <w:topLinePunct w:val="0"/>
        <w:bidi w:val="0"/>
        <w:snapToGrid/>
        <w:spacing w:before="0" w:after="0" w:line="500" w:lineRule="exact"/>
        <w:ind w:firstLine="480"/>
        <w:jc w:val="left"/>
        <w:textAlignment w:val="auto"/>
        <w:rPr>
          <w:rFonts w:hint="eastAsia" w:ascii="宋体" w:hAnsi="宋体" w:eastAsia="宋体" w:cs="宋体"/>
          <w:b w:val="0"/>
          <w:bCs/>
          <w:sz w:val="24"/>
          <w:szCs w:val="24"/>
          <w:highlight w:val="none"/>
        </w:rPr>
      </w:pPr>
      <w:bookmarkStart w:id="169" w:name="_Toc19881"/>
      <w:bookmarkStart w:id="170" w:name="_Toc755"/>
      <w:bookmarkStart w:id="171" w:name="_Toc27822"/>
      <w:bookmarkStart w:id="172" w:name="_Toc7463"/>
      <w:bookmarkStart w:id="173" w:name="_Toc2794"/>
      <w:bookmarkStart w:id="174" w:name="_Toc1152"/>
      <w:bookmarkStart w:id="175" w:name="_Toc3059"/>
      <w:bookmarkStart w:id="176" w:name="_Toc32153"/>
      <w:bookmarkStart w:id="177" w:name="_Toc6103"/>
      <w:bookmarkStart w:id="178" w:name="_Toc29052"/>
      <w:bookmarkStart w:id="179" w:name="_Toc23761"/>
      <w:bookmarkStart w:id="180" w:name="_Toc21129"/>
      <w:r>
        <w:rPr>
          <w:rFonts w:hint="eastAsia" w:ascii="宋体" w:hAnsi="宋体" w:eastAsia="宋体" w:cs="宋体"/>
          <w:b w:val="0"/>
          <w:bCs/>
          <w:sz w:val="24"/>
          <w:szCs w:val="24"/>
          <w:highlight w:val="none"/>
        </w:rPr>
        <w:t>1.时间：</w:t>
      </w:r>
      <w:bookmarkEnd w:id="169"/>
      <w:bookmarkEnd w:id="170"/>
      <w:bookmarkEnd w:id="171"/>
      <w:bookmarkEnd w:id="172"/>
      <w:bookmarkEnd w:id="173"/>
      <w:bookmarkEnd w:id="174"/>
      <w:bookmarkEnd w:id="175"/>
      <w:r>
        <w:rPr>
          <w:rFonts w:hint="eastAsia" w:ascii="宋体" w:hAnsi="宋体" w:eastAsia="宋体" w:cs="宋体"/>
          <w:b w:val="0"/>
          <w:bCs/>
          <w:sz w:val="24"/>
          <w:szCs w:val="24"/>
          <w:highlight w:val="none"/>
          <w:u w:val="single"/>
        </w:rPr>
        <w:t xml:space="preserve">  202</w:t>
      </w:r>
      <w:r>
        <w:rPr>
          <w:rFonts w:hint="eastAsia" w:ascii="宋体" w:hAnsi="宋体" w:eastAsia="宋体" w:cs="宋体"/>
          <w:b w:val="0"/>
          <w:bCs/>
          <w:sz w:val="24"/>
          <w:szCs w:val="24"/>
          <w:highlight w:val="none"/>
          <w:u w:val="single"/>
          <w:lang w:val="en-US" w:eastAsia="zh-CN"/>
        </w:rPr>
        <w:t>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4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19  </w:t>
      </w:r>
      <w:r>
        <w:rPr>
          <w:rFonts w:hint="eastAsia" w:ascii="宋体" w:hAnsi="宋体" w:eastAsia="宋体" w:cs="宋体"/>
          <w:b w:val="0"/>
          <w:bCs/>
          <w:sz w:val="24"/>
          <w:szCs w:val="24"/>
          <w:highlight w:val="none"/>
        </w:rPr>
        <w:t>日</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09</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点</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30</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分（北京时间）</w:t>
      </w:r>
      <w:bookmarkEnd w:id="176"/>
      <w:bookmarkEnd w:id="177"/>
      <w:bookmarkEnd w:id="178"/>
      <w:bookmarkEnd w:id="179"/>
      <w:bookmarkEnd w:id="180"/>
    </w:p>
    <w:p>
      <w:pPr>
        <w:pStyle w:val="5"/>
        <w:keepNext w:val="0"/>
        <w:keepLines w:val="0"/>
        <w:pageBreakBefore w:val="0"/>
        <w:kinsoku/>
        <w:overflowPunct/>
        <w:topLinePunct w:val="0"/>
        <w:bidi w:val="0"/>
        <w:snapToGrid/>
        <w:spacing w:before="0" w:after="0" w:line="500" w:lineRule="exact"/>
        <w:ind w:firstLine="480"/>
        <w:jc w:val="left"/>
        <w:textAlignment w:val="auto"/>
        <w:rPr>
          <w:rFonts w:hint="eastAsia" w:ascii="宋体" w:hAnsi="宋体" w:eastAsia="宋体" w:cs="宋体"/>
          <w:b w:val="0"/>
          <w:bCs/>
          <w:highlight w:val="none"/>
        </w:rPr>
      </w:pPr>
      <w:bookmarkStart w:id="181" w:name="_Toc12188"/>
      <w:bookmarkStart w:id="182" w:name="_Toc14725"/>
      <w:bookmarkStart w:id="183" w:name="_Toc14979"/>
      <w:bookmarkStart w:id="184" w:name="_Toc27477"/>
      <w:bookmarkStart w:id="185" w:name="_Toc18566"/>
      <w:bookmarkStart w:id="186" w:name="_Toc7958"/>
      <w:bookmarkStart w:id="187" w:name="_Toc26839"/>
      <w:bookmarkStart w:id="188" w:name="_Toc10512"/>
      <w:bookmarkStart w:id="189" w:name="_Toc31679"/>
      <w:bookmarkStart w:id="190" w:name="_Toc26789"/>
      <w:bookmarkStart w:id="191" w:name="_Toc22942"/>
      <w:bookmarkStart w:id="192" w:name="_Toc12557"/>
      <w:r>
        <w:rPr>
          <w:rFonts w:hint="eastAsia" w:ascii="宋体" w:hAnsi="宋体" w:eastAsia="宋体" w:cs="宋体"/>
          <w:b w:val="0"/>
          <w:bCs/>
          <w:sz w:val="24"/>
          <w:szCs w:val="24"/>
          <w:highlight w:val="none"/>
        </w:rPr>
        <w:t>2.地点：全国公共资源交易平台（河南省·息县）不见面开标大厅</w:t>
      </w:r>
      <w:bookmarkEnd w:id="181"/>
      <w:bookmarkEnd w:id="182"/>
      <w:bookmarkEnd w:id="183"/>
      <w:bookmarkEnd w:id="184"/>
      <w:bookmarkEnd w:id="185"/>
      <w:bookmarkEnd w:id="186"/>
      <w:bookmarkEnd w:id="187"/>
      <w:bookmarkEnd w:id="188"/>
      <w:bookmarkEnd w:id="189"/>
      <w:bookmarkEnd w:id="190"/>
      <w:bookmarkEnd w:id="191"/>
      <w:bookmarkEnd w:id="192"/>
    </w:p>
    <w:p>
      <w:pPr>
        <w:pStyle w:val="5"/>
        <w:keepNext w:val="0"/>
        <w:keepLines w:val="0"/>
        <w:pageBreakBefore w:val="0"/>
        <w:kinsoku/>
        <w:overflowPunct/>
        <w:topLinePunct w:val="0"/>
        <w:bidi w:val="0"/>
        <w:snapToGrid/>
        <w:spacing w:before="0" w:after="0" w:line="500" w:lineRule="exact"/>
        <w:ind w:firstLine="0" w:firstLineChars="0"/>
        <w:jc w:val="left"/>
        <w:textAlignment w:val="auto"/>
        <w:rPr>
          <w:rFonts w:eastAsia="宋体" w:cs="宋体"/>
          <w:sz w:val="24"/>
          <w:szCs w:val="24"/>
        </w:rPr>
      </w:pPr>
      <w:bookmarkStart w:id="193" w:name="_Toc3470"/>
      <w:bookmarkStart w:id="194" w:name="_Toc28359007"/>
      <w:bookmarkStart w:id="195" w:name="_Toc6833"/>
      <w:bookmarkStart w:id="196" w:name="_Toc31972"/>
      <w:bookmarkStart w:id="197" w:name="_Toc8368"/>
      <w:bookmarkStart w:id="198" w:name="_Toc12996"/>
      <w:bookmarkStart w:id="199" w:name="_Toc27202"/>
      <w:bookmarkStart w:id="200" w:name="_Toc35393625"/>
      <w:bookmarkStart w:id="201" w:name="_Toc29366"/>
      <w:bookmarkStart w:id="202" w:name="_Toc23757"/>
      <w:bookmarkStart w:id="203" w:name="_Toc28359084"/>
      <w:bookmarkStart w:id="204" w:name="_Toc35393794"/>
      <w:bookmarkStart w:id="205" w:name="_Toc27385"/>
      <w:bookmarkStart w:id="206" w:name="_Toc23584"/>
      <w:bookmarkStart w:id="207" w:name="_Toc26190"/>
      <w:bookmarkStart w:id="208" w:name="_Toc15386"/>
      <w:bookmarkStart w:id="209" w:name="_Toc39"/>
      <w:bookmarkStart w:id="210" w:name="_Toc32317"/>
      <w:r>
        <w:rPr>
          <w:rFonts w:hint="eastAsia" w:eastAsia="宋体" w:cs="宋体"/>
          <w:sz w:val="24"/>
          <w:szCs w:val="24"/>
        </w:rPr>
        <w:t>六、发布公告的媒介及招标公告期限</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keepNext w:val="0"/>
        <w:keepLines w:val="0"/>
        <w:pageBreakBefore w:val="0"/>
        <w:kinsoku/>
        <w:overflowPunct/>
        <w:topLinePunct w:val="0"/>
        <w:bidi w:val="0"/>
        <w:snapToGrid/>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本次招标公告在《河南省政府采购网》、《</w:t>
      </w:r>
      <w:r>
        <w:rPr>
          <w:rFonts w:hint="eastAsia" w:ascii="宋体" w:hAnsi="宋体" w:eastAsia="宋体" w:cs="宋体"/>
          <w:sz w:val="24"/>
          <w:szCs w:val="24"/>
        </w:rPr>
        <w:t>中国招标投标公共服务平台</w:t>
      </w:r>
      <w:r>
        <w:rPr>
          <w:rFonts w:hint="eastAsia" w:ascii="宋体" w:hAnsi="宋体" w:cs="宋体"/>
          <w:kern w:val="0"/>
          <w:sz w:val="24"/>
          <w:szCs w:val="24"/>
        </w:rPr>
        <w:t xml:space="preserve">》及《全国公共资源交易平台（河南省•息县）》上发布。 </w:t>
      </w:r>
    </w:p>
    <w:p>
      <w:pPr>
        <w:keepNext w:val="0"/>
        <w:keepLines w:val="0"/>
        <w:pageBreakBefore w:val="0"/>
        <w:kinsoku/>
        <w:overflowPunct/>
        <w:topLinePunct w:val="0"/>
        <w:bidi w:val="0"/>
        <w:snapToGrid/>
        <w:spacing w:line="500" w:lineRule="exact"/>
        <w:ind w:firstLine="480"/>
        <w:jc w:val="left"/>
        <w:textAlignment w:val="auto"/>
        <w:rPr>
          <w:rFonts w:ascii="宋体" w:hAnsi="宋体" w:cs="宋体"/>
          <w:kern w:val="0"/>
          <w:sz w:val="24"/>
          <w:szCs w:val="24"/>
          <w:highlight w:val="yellow"/>
        </w:rPr>
      </w:pPr>
      <w:r>
        <w:rPr>
          <w:rFonts w:hint="eastAsia" w:ascii="宋体" w:hAnsi="宋体" w:cs="宋体"/>
          <w:kern w:val="0"/>
          <w:sz w:val="24"/>
          <w:szCs w:val="24"/>
        </w:rPr>
        <w:t>招标公告期限为五个工作日</w:t>
      </w:r>
    </w:p>
    <w:p>
      <w:pPr>
        <w:pStyle w:val="5"/>
        <w:keepNext w:val="0"/>
        <w:keepLines w:val="0"/>
        <w:pageBreakBefore w:val="0"/>
        <w:kinsoku/>
        <w:overflowPunct/>
        <w:topLinePunct w:val="0"/>
        <w:bidi w:val="0"/>
        <w:snapToGrid/>
        <w:spacing w:before="0" w:after="0" w:line="500" w:lineRule="exact"/>
        <w:ind w:firstLine="0" w:firstLineChars="0"/>
        <w:jc w:val="left"/>
        <w:textAlignment w:val="auto"/>
        <w:rPr>
          <w:rFonts w:eastAsia="宋体" w:cs="宋体"/>
          <w:sz w:val="24"/>
          <w:szCs w:val="24"/>
        </w:rPr>
      </w:pPr>
      <w:bookmarkStart w:id="211" w:name="_Toc22102"/>
      <w:bookmarkStart w:id="212" w:name="_Toc14484"/>
      <w:bookmarkStart w:id="213" w:name="_Toc2104"/>
      <w:bookmarkStart w:id="214" w:name="_Toc26552"/>
      <w:bookmarkStart w:id="215" w:name="_Toc35393795"/>
      <w:bookmarkStart w:id="216" w:name="_Toc10913"/>
      <w:bookmarkStart w:id="217" w:name="_Toc4537"/>
      <w:bookmarkStart w:id="218" w:name="_Toc9215"/>
      <w:bookmarkStart w:id="219" w:name="_Toc25922"/>
      <w:bookmarkStart w:id="220" w:name="_Toc24560"/>
      <w:bookmarkStart w:id="221" w:name="_Toc29600"/>
      <w:bookmarkStart w:id="222" w:name="_Toc3122"/>
      <w:bookmarkStart w:id="223" w:name="_Toc14215"/>
      <w:bookmarkStart w:id="224" w:name="_Toc29470"/>
      <w:bookmarkStart w:id="225" w:name="_Toc35393626"/>
      <w:bookmarkStart w:id="226" w:name="_Toc32695"/>
      <w:r>
        <w:rPr>
          <w:rFonts w:hint="eastAsia" w:eastAsia="宋体" w:cs="宋体"/>
          <w:sz w:val="24"/>
          <w:szCs w:val="24"/>
        </w:rPr>
        <w:t>七、其他补充事宜</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keepNext w:val="0"/>
        <w:keepLines w:val="0"/>
        <w:pageBreakBefore w:val="0"/>
        <w:kinsoku/>
        <w:overflowPunct/>
        <w:topLinePunct w:val="0"/>
        <w:bidi w:val="0"/>
        <w:snapToGrid/>
        <w:spacing w:line="50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 xml:space="preserve">1.本项目采用“不见面开标”交易方式，不见面开标大厅网址为 </w:t>
      </w:r>
      <w:r>
        <w:rPr>
          <w:rFonts w:ascii="宋体" w:hAnsi="宋体" w:eastAsia="宋体" w:cs="宋体"/>
          <w:sz w:val="24"/>
          <w:szCs w:val="24"/>
        </w:rPr>
        <w:fldChar w:fldCharType="begin"/>
      </w:r>
      <w:r>
        <w:rPr>
          <w:rFonts w:ascii="宋体" w:hAnsi="宋体" w:eastAsia="宋体" w:cs="宋体"/>
          <w:sz w:val="24"/>
          <w:szCs w:val="24"/>
        </w:rPr>
        <w:instrText xml:space="preserve"> HYPERLINK "https://ggzyjy.xinyang.gov.cn/" </w:instrText>
      </w:r>
      <w:r>
        <w:rPr>
          <w:rFonts w:ascii="宋体" w:hAnsi="宋体" w:eastAsia="宋体" w:cs="宋体"/>
          <w:sz w:val="24"/>
          <w:szCs w:val="24"/>
        </w:rPr>
        <w:fldChar w:fldCharType="separate"/>
      </w:r>
      <w:r>
        <w:rPr>
          <w:rStyle w:val="29"/>
          <w:rFonts w:ascii="宋体" w:hAnsi="宋体" w:eastAsia="宋体" w:cs="宋体"/>
          <w:sz w:val="24"/>
          <w:szCs w:val="24"/>
        </w:rPr>
        <w:t>https://ggzyjy.xinyang.gov.cn/</w:t>
      </w:r>
      <w:r>
        <w:rPr>
          <w:rFonts w:ascii="宋体" w:hAnsi="宋体" w:eastAsia="宋体" w:cs="宋体"/>
          <w:sz w:val="24"/>
          <w:szCs w:val="24"/>
        </w:rPr>
        <w:fldChar w:fldCharType="end"/>
      </w:r>
      <w:r>
        <w:rPr>
          <w:rFonts w:hint="eastAsia" w:ascii="宋体" w:hAnsi="宋体" w:eastAsia="宋体" w:cs="宋体"/>
          <w:kern w:val="0"/>
          <w:sz w:val="24"/>
          <w:szCs w:val="24"/>
        </w:rPr>
        <w:t>，投标供应商无需寄送和递交非加密的电子投标文件，无需到现场参加开标会议，无需到达现场提交原件资料。</w:t>
      </w:r>
    </w:p>
    <w:p>
      <w:pPr>
        <w:keepNext w:val="0"/>
        <w:keepLines w:val="0"/>
        <w:pageBreakBefore w:val="0"/>
        <w:kinsoku/>
        <w:overflowPunct/>
        <w:topLinePunct w:val="0"/>
        <w:bidi w:val="0"/>
        <w:snapToGrid/>
        <w:spacing w:line="50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2.投标供应商应当在投标截止时间前，使用投标供应商CA数字证书登录不见面开标大厅，在线签到并准时参加开标活动，并在规定时间内完成投标文件解密、答疑澄清等。</w:t>
      </w:r>
    </w:p>
    <w:p>
      <w:pPr>
        <w:keepNext w:val="0"/>
        <w:keepLines w:val="0"/>
        <w:pageBreakBefore w:val="0"/>
        <w:kinsoku/>
        <w:overflowPunct/>
        <w:topLinePunct w:val="0"/>
        <w:bidi w:val="0"/>
        <w:snapToGrid/>
        <w:spacing w:line="50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3.逾期解密或者没有准时在线参加开标活动导致的一切后果投标供应商自行承担。</w:t>
      </w:r>
    </w:p>
    <w:p>
      <w:pPr>
        <w:keepNext w:val="0"/>
        <w:keepLines w:val="0"/>
        <w:pageBreakBefore w:val="0"/>
        <w:kinsoku/>
        <w:overflowPunct/>
        <w:topLinePunct w:val="0"/>
        <w:bidi w:val="0"/>
        <w:snapToGrid/>
        <w:spacing w:line="50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4.不见面开标服务的具体事宜，请查阅信阳市公共资源交易中心网站首页—下载中心—信阳市不见面开标大厅系统操作手册 。</w:t>
      </w:r>
    </w:p>
    <w:p>
      <w:pPr>
        <w:keepNext w:val="0"/>
        <w:keepLines w:val="0"/>
        <w:pageBreakBefore w:val="0"/>
        <w:kinsoku/>
        <w:overflowPunct/>
        <w:topLinePunct w:val="0"/>
        <w:bidi w:val="0"/>
        <w:snapToGrid/>
        <w:spacing w:line="500" w:lineRule="exact"/>
        <w:ind w:firstLine="482"/>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特别提示：投标供应商在线签到时，应如实准确的填写授权委托人的联系电话，开标当天请务必保证电话保持畅通。</w:t>
      </w:r>
    </w:p>
    <w:p>
      <w:pPr>
        <w:pStyle w:val="5"/>
        <w:keepNext w:val="0"/>
        <w:keepLines w:val="0"/>
        <w:pageBreakBefore w:val="0"/>
        <w:kinsoku/>
        <w:overflowPunct/>
        <w:topLinePunct w:val="0"/>
        <w:bidi w:val="0"/>
        <w:snapToGrid/>
        <w:spacing w:before="0" w:after="0" w:line="500" w:lineRule="exact"/>
        <w:ind w:firstLine="0" w:firstLineChars="0"/>
        <w:jc w:val="left"/>
        <w:textAlignment w:val="auto"/>
        <w:rPr>
          <w:rFonts w:eastAsia="宋体" w:cs="宋体"/>
          <w:bCs/>
          <w:sz w:val="24"/>
          <w:szCs w:val="24"/>
        </w:rPr>
      </w:pPr>
      <w:bookmarkStart w:id="227" w:name="_Toc19224"/>
      <w:bookmarkStart w:id="228" w:name="_Toc19289"/>
      <w:bookmarkStart w:id="229" w:name="_Toc21928"/>
      <w:bookmarkStart w:id="230" w:name="_Toc25604"/>
      <w:bookmarkStart w:id="231" w:name="_Toc32497"/>
      <w:bookmarkStart w:id="232" w:name="_Toc2687"/>
      <w:bookmarkStart w:id="233" w:name="_Toc28323"/>
      <w:bookmarkStart w:id="234" w:name="_Toc4272"/>
      <w:bookmarkStart w:id="235" w:name="_Toc24151"/>
      <w:bookmarkStart w:id="236" w:name="_Toc6223"/>
      <w:bookmarkStart w:id="237" w:name="_Toc28483"/>
      <w:bookmarkStart w:id="238" w:name="_Toc30503"/>
      <w:r>
        <w:rPr>
          <w:rFonts w:hint="eastAsia" w:eastAsia="宋体" w:cs="宋体"/>
          <w:bCs/>
          <w:sz w:val="24"/>
          <w:szCs w:val="24"/>
        </w:rPr>
        <w:t>八、对本次招标提出询问，请按以下方式联系。</w:t>
      </w:r>
      <w:bookmarkEnd w:id="88"/>
      <w:bookmarkEnd w:id="89"/>
      <w:bookmarkEnd w:id="90"/>
      <w:bookmarkEnd w:id="91"/>
      <w:bookmarkEnd w:id="92"/>
      <w:bookmarkEnd w:id="227"/>
      <w:bookmarkEnd w:id="228"/>
      <w:bookmarkEnd w:id="229"/>
      <w:bookmarkEnd w:id="230"/>
      <w:bookmarkEnd w:id="231"/>
      <w:bookmarkEnd w:id="232"/>
      <w:bookmarkEnd w:id="233"/>
      <w:bookmarkEnd w:id="234"/>
      <w:bookmarkEnd w:id="235"/>
      <w:bookmarkEnd w:id="236"/>
      <w:bookmarkEnd w:id="237"/>
      <w:bookmarkEnd w:id="238"/>
    </w:p>
    <w:p>
      <w:pPr>
        <w:keepNext w:val="0"/>
        <w:keepLines w:val="0"/>
        <w:pageBreakBefore w:val="0"/>
        <w:widowControl/>
        <w:kinsoku/>
        <w:overflowPunct/>
        <w:topLinePunct w:val="0"/>
        <w:bidi w:val="0"/>
        <w:snapToGrid/>
        <w:spacing w:line="500" w:lineRule="exact"/>
        <w:ind w:firstLine="240" w:firstLineChars="100"/>
        <w:jc w:val="left"/>
        <w:textAlignment w:val="auto"/>
        <w:rPr>
          <w:rFonts w:ascii="宋体" w:hAnsi="宋体" w:eastAsia="宋体" w:cs="宋体"/>
          <w:sz w:val="24"/>
        </w:rPr>
      </w:pPr>
      <w:r>
        <w:rPr>
          <w:rFonts w:hint="eastAsia" w:ascii="宋体" w:hAnsi="宋体" w:eastAsia="宋体" w:cs="宋体"/>
          <w:sz w:val="24"/>
        </w:rPr>
        <w:t>1.采购人信息</w:t>
      </w:r>
    </w:p>
    <w:p>
      <w:pPr>
        <w:keepNext w:val="0"/>
        <w:keepLines w:val="0"/>
        <w:pageBreakBefore w:val="0"/>
        <w:kinsoku/>
        <w:overflowPunct/>
        <w:topLinePunct w:val="0"/>
        <w:bidi w:val="0"/>
        <w:snapToGrid/>
        <w:spacing w:line="500" w:lineRule="exact"/>
        <w:ind w:left="1079" w:leftChars="371" w:hanging="300" w:hangingChars="125"/>
        <w:jc w:val="left"/>
        <w:textAlignment w:val="auto"/>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　息县教育体育局　　</w:t>
      </w:r>
    </w:p>
    <w:p>
      <w:pPr>
        <w:keepNext w:val="0"/>
        <w:keepLines w:val="0"/>
        <w:pageBreakBefore w:val="0"/>
        <w:kinsoku/>
        <w:overflowPunct/>
        <w:topLinePunct w:val="0"/>
        <w:bidi w:val="0"/>
        <w:snapToGrid/>
        <w:spacing w:line="500" w:lineRule="exact"/>
        <w:ind w:left="1079" w:leftChars="371" w:hanging="300" w:hangingChars="125"/>
        <w:jc w:val="left"/>
        <w:textAlignment w:val="auto"/>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息县境内           　　</w:t>
      </w:r>
    </w:p>
    <w:p>
      <w:pPr>
        <w:keepNext w:val="0"/>
        <w:keepLines w:val="0"/>
        <w:pageBreakBefore w:val="0"/>
        <w:kinsoku/>
        <w:overflowPunct/>
        <w:topLinePunct w:val="0"/>
        <w:bidi w:val="0"/>
        <w:snapToGrid/>
        <w:spacing w:line="500" w:lineRule="exact"/>
        <w:ind w:left="1079" w:leftChars="371" w:hanging="300" w:hangingChars="125"/>
        <w:jc w:val="left"/>
        <w:textAlignment w:val="auto"/>
        <w:rPr>
          <w:rFonts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喻先生         　  　</w:t>
      </w:r>
    </w:p>
    <w:p>
      <w:pPr>
        <w:keepNext w:val="0"/>
        <w:keepLines w:val="0"/>
        <w:pageBreakBefore w:val="0"/>
        <w:kinsoku/>
        <w:overflowPunct/>
        <w:topLinePunct w:val="0"/>
        <w:bidi w:val="0"/>
        <w:snapToGrid/>
        <w:spacing w:line="500" w:lineRule="exact"/>
        <w:ind w:left="1079" w:leftChars="371" w:hanging="300" w:hangingChars="125"/>
        <w:jc w:val="left"/>
        <w:textAlignment w:val="auto"/>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0376-5856376　　　</w:t>
      </w:r>
      <w:r>
        <w:rPr>
          <w:rFonts w:hint="eastAsia" w:ascii="宋体" w:hAnsi="宋体" w:eastAsia="宋体" w:cs="宋体"/>
          <w:sz w:val="24"/>
        </w:rPr>
        <w:t xml:space="preserve">　　　 </w:t>
      </w:r>
      <w:bookmarkStart w:id="239" w:name="_Toc28359086"/>
      <w:bookmarkStart w:id="240" w:name="_Toc28359009"/>
    </w:p>
    <w:p>
      <w:pPr>
        <w:keepNext w:val="0"/>
        <w:keepLines w:val="0"/>
        <w:pageBreakBefore w:val="0"/>
        <w:kinsoku/>
        <w:overflowPunct/>
        <w:topLinePunct w:val="0"/>
        <w:bidi w:val="0"/>
        <w:snapToGrid/>
        <w:spacing w:line="500" w:lineRule="exact"/>
        <w:ind w:firstLine="240" w:firstLineChars="100"/>
        <w:jc w:val="left"/>
        <w:textAlignment w:val="auto"/>
        <w:rPr>
          <w:rFonts w:ascii="宋体" w:hAnsi="宋体" w:eastAsia="宋体" w:cs="宋体"/>
          <w:sz w:val="24"/>
        </w:rPr>
      </w:pPr>
      <w:r>
        <w:rPr>
          <w:rFonts w:hint="eastAsia" w:ascii="宋体" w:hAnsi="宋体" w:eastAsia="宋体" w:cs="宋体"/>
          <w:sz w:val="24"/>
        </w:rPr>
        <w:t>2.采购代理机构信息</w:t>
      </w:r>
      <w:bookmarkEnd w:id="239"/>
      <w:bookmarkEnd w:id="240"/>
    </w:p>
    <w:p>
      <w:pPr>
        <w:keepNext w:val="0"/>
        <w:keepLines w:val="0"/>
        <w:pageBreakBefore w:val="0"/>
        <w:kinsoku/>
        <w:wordWrap/>
        <w:overflowPunct/>
        <w:topLinePunct w:val="0"/>
        <w:autoSpaceDE/>
        <w:autoSpaceDN/>
        <w:bidi w:val="0"/>
        <w:adjustRightInd/>
        <w:snapToGrid/>
        <w:spacing w:line="500" w:lineRule="exact"/>
        <w:ind w:left="0" w:leftChars="0" w:firstLine="720" w:firstLineChars="300"/>
        <w:jc w:val="left"/>
        <w:textAlignment w:val="auto"/>
        <w:rPr>
          <w:rFonts w:hint="eastAsia" w:ascii="宋体" w:hAnsi="宋体" w:eastAsia="宋体" w:cs="宋体"/>
          <w:b w:val="0"/>
          <w:bCs w:val="0"/>
          <w:sz w:val="24"/>
        </w:rPr>
      </w:pPr>
      <w:bookmarkStart w:id="241" w:name="_Toc31536"/>
      <w:bookmarkStart w:id="242" w:name="_Toc1399"/>
      <w:bookmarkStart w:id="243" w:name="_Toc29599"/>
      <w:bookmarkStart w:id="244" w:name="_Toc17234"/>
      <w:bookmarkStart w:id="245" w:name="_Toc11498"/>
      <w:bookmarkStart w:id="246" w:name="_Toc11475"/>
      <w:bookmarkStart w:id="247" w:name="_Toc118"/>
      <w:bookmarkStart w:id="248" w:name="_Toc17214"/>
      <w:r>
        <w:rPr>
          <w:rFonts w:hint="eastAsia" w:ascii="宋体" w:hAnsi="宋体" w:eastAsia="宋体" w:cs="宋体"/>
          <w:b w:val="0"/>
          <w:bCs w:val="0"/>
          <w:sz w:val="24"/>
        </w:rPr>
        <w:t>名  称：</w:t>
      </w:r>
      <w:r>
        <w:rPr>
          <w:rFonts w:hint="eastAsia" w:ascii="宋体" w:hAnsi="宋体" w:eastAsia="宋体" w:cs="宋体"/>
          <w:b w:val="0"/>
          <w:bCs w:val="0"/>
          <w:sz w:val="24"/>
          <w:u w:val="single"/>
        </w:rPr>
        <w:t>　</w:t>
      </w:r>
      <w:r>
        <w:rPr>
          <w:rFonts w:hint="eastAsia" w:ascii="宋体" w:hAnsi="宋体" w:eastAsia="宋体" w:cs="宋体"/>
          <w:b w:val="0"/>
          <w:bCs w:val="0"/>
          <w:sz w:val="24"/>
          <w:u w:val="single"/>
          <w:lang w:eastAsia="zh-CN"/>
        </w:rPr>
        <w:t>华睿诚项目管理有限公司</w:t>
      </w:r>
      <w:r>
        <w:rPr>
          <w:rFonts w:hint="eastAsia" w:ascii="宋体" w:hAnsi="宋体" w:eastAsia="宋体" w:cs="宋体"/>
          <w:b w:val="0"/>
          <w:bCs w:val="0"/>
          <w:sz w:val="24"/>
          <w:u w:val="single"/>
        </w:rPr>
        <w:t>　　</w:t>
      </w:r>
    </w:p>
    <w:p>
      <w:pPr>
        <w:keepNext w:val="0"/>
        <w:keepLines w:val="0"/>
        <w:pageBreakBefore w:val="0"/>
        <w:kinsoku/>
        <w:wordWrap/>
        <w:overflowPunct/>
        <w:topLinePunct w:val="0"/>
        <w:autoSpaceDE/>
        <w:autoSpaceDN/>
        <w:bidi w:val="0"/>
        <w:adjustRightInd/>
        <w:snapToGrid/>
        <w:spacing w:line="500" w:lineRule="exact"/>
        <w:ind w:left="0" w:leftChars="0" w:firstLine="720" w:firstLineChars="300"/>
        <w:jc w:val="left"/>
        <w:textAlignment w:val="auto"/>
        <w:rPr>
          <w:rFonts w:hint="eastAsia" w:ascii="宋体" w:hAnsi="宋体" w:eastAsia="宋体" w:cs="宋体"/>
          <w:b w:val="0"/>
          <w:bCs w:val="0"/>
          <w:sz w:val="24"/>
        </w:rPr>
      </w:pPr>
      <w:r>
        <w:rPr>
          <w:rFonts w:hint="eastAsia" w:ascii="宋体" w:hAnsi="宋体" w:eastAsia="宋体" w:cs="宋体"/>
          <w:b w:val="0"/>
          <w:bCs w:val="0"/>
          <w:sz w:val="24"/>
        </w:rPr>
        <w:t>地　址：</w:t>
      </w:r>
      <w:r>
        <w:rPr>
          <w:rFonts w:hint="eastAsia" w:ascii="宋体" w:hAnsi="宋体" w:eastAsia="宋体" w:cs="宋体"/>
          <w:b w:val="0"/>
          <w:bCs w:val="0"/>
          <w:sz w:val="24"/>
          <w:u w:val="single"/>
        </w:rPr>
        <w:t>郑州市郑东新区正光路与众旺路行署国际广场C座四楼</w:t>
      </w:r>
      <w:r>
        <w:rPr>
          <w:rFonts w:hint="eastAsia" w:ascii="宋体" w:hAnsi="宋体" w:eastAsia="宋体" w:cs="宋体"/>
          <w:b w:val="0"/>
          <w:bCs w:val="0"/>
          <w:sz w:val="24"/>
          <w:u w:val="none"/>
        </w:rPr>
        <w:t xml:space="preserve">　    </w:t>
      </w:r>
    </w:p>
    <w:p>
      <w:pPr>
        <w:keepNext w:val="0"/>
        <w:keepLines w:val="0"/>
        <w:pageBreakBefore w:val="0"/>
        <w:kinsoku/>
        <w:wordWrap/>
        <w:overflowPunct/>
        <w:topLinePunct w:val="0"/>
        <w:autoSpaceDE/>
        <w:autoSpaceDN/>
        <w:bidi w:val="0"/>
        <w:adjustRightInd/>
        <w:snapToGrid/>
        <w:spacing w:line="500" w:lineRule="exact"/>
        <w:ind w:left="0" w:leftChars="0" w:firstLine="720" w:firstLineChars="300"/>
        <w:jc w:val="left"/>
        <w:textAlignment w:val="auto"/>
        <w:rPr>
          <w:rFonts w:hint="eastAsia" w:ascii="宋体" w:hAnsi="宋体" w:eastAsia="宋体" w:cs="宋体"/>
          <w:b w:val="0"/>
          <w:bCs w:val="0"/>
          <w:sz w:val="24"/>
        </w:rPr>
      </w:pPr>
      <w:r>
        <w:rPr>
          <w:rFonts w:hint="eastAsia" w:ascii="宋体" w:hAnsi="宋体" w:eastAsia="宋体" w:cs="宋体"/>
          <w:b w:val="0"/>
          <w:bCs w:val="0"/>
          <w:sz w:val="24"/>
        </w:rPr>
        <w:t>联系人：</w:t>
      </w:r>
      <w:r>
        <w:rPr>
          <w:rFonts w:hint="eastAsia" w:ascii="宋体" w:hAnsi="宋体" w:eastAsia="宋体" w:cs="宋体"/>
          <w:b w:val="0"/>
          <w:bCs w:val="0"/>
          <w:sz w:val="24"/>
          <w:u w:val="single"/>
        </w:rPr>
        <w:t xml:space="preserve">  </w:t>
      </w:r>
      <w:r>
        <w:rPr>
          <w:rFonts w:hint="eastAsia" w:ascii="宋体" w:hAnsi="宋体" w:eastAsia="宋体" w:cs="宋体"/>
          <w:b w:val="0"/>
          <w:bCs w:val="0"/>
          <w:sz w:val="24"/>
          <w:u w:val="single"/>
          <w:lang w:eastAsia="zh-CN"/>
        </w:rPr>
        <w:t>周女士</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 xml:space="preserve">  </w:t>
      </w:r>
    </w:p>
    <w:p>
      <w:pPr>
        <w:pStyle w:val="5"/>
        <w:keepNext w:val="0"/>
        <w:keepLines w:val="0"/>
        <w:pageBreakBefore w:val="0"/>
        <w:numPr>
          <w:ilvl w:val="0"/>
          <w:numId w:val="0"/>
        </w:numPr>
        <w:tabs>
          <w:tab w:val="left" w:pos="525"/>
        </w:tabs>
        <w:kinsoku/>
        <w:overflowPunct/>
        <w:topLinePunct w:val="0"/>
        <w:bidi w:val="0"/>
        <w:snapToGrid/>
        <w:spacing w:before="0" w:after="0" w:line="500" w:lineRule="exact"/>
        <w:ind w:leftChars="300"/>
        <w:jc w:val="left"/>
        <w:textAlignment w:val="auto"/>
        <w:rPr>
          <w:rFonts w:hint="eastAsia" w:ascii="宋体" w:hAnsi="宋体" w:eastAsia="宋体" w:cs="宋体"/>
          <w:b w:val="0"/>
          <w:bCs w:val="0"/>
          <w:sz w:val="24"/>
          <w:u w:val="single"/>
        </w:rPr>
      </w:pPr>
      <w:bookmarkStart w:id="249" w:name="_Toc7220"/>
      <w:bookmarkStart w:id="250" w:name="_Toc4529"/>
      <w:bookmarkStart w:id="251" w:name="_Toc6355"/>
      <w:bookmarkStart w:id="252" w:name="_Toc3654"/>
      <w:bookmarkStart w:id="253" w:name="_Toc28966"/>
      <w:bookmarkStart w:id="254" w:name="_Toc29157"/>
      <w:bookmarkStart w:id="255" w:name="_Toc15292"/>
      <w:bookmarkStart w:id="256" w:name="_Toc16017"/>
      <w:r>
        <w:rPr>
          <w:rFonts w:hint="eastAsia" w:ascii="宋体" w:hAnsi="宋体" w:eastAsia="宋体" w:cs="宋体"/>
          <w:b w:val="0"/>
          <w:bCs w:val="0"/>
          <w:kern w:val="2"/>
          <w:sz w:val="24"/>
          <w:lang w:val="en-US" w:eastAsia="zh-CN" w:bidi="ar-SA"/>
        </w:rPr>
        <w:t>联系方式：</w:t>
      </w:r>
      <w:r>
        <w:rPr>
          <w:rFonts w:hint="eastAsia" w:ascii="宋体" w:hAnsi="宋体" w:eastAsia="宋体" w:cs="宋体"/>
          <w:b w:val="0"/>
          <w:bCs w:val="0"/>
          <w:sz w:val="24"/>
          <w:u w:val="single"/>
        </w:rPr>
        <w:t xml:space="preserve">  </w:t>
      </w:r>
      <w:bookmarkEnd w:id="249"/>
      <w:bookmarkEnd w:id="250"/>
      <w:bookmarkEnd w:id="251"/>
      <w:bookmarkEnd w:id="252"/>
      <w:r>
        <w:rPr>
          <w:rFonts w:hint="eastAsia" w:ascii="宋体" w:hAnsi="宋体" w:eastAsia="宋体" w:cs="宋体"/>
          <w:b w:val="0"/>
          <w:bCs w:val="0"/>
          <w:sz w:val="24"/>
          <w:u w:val="single"/>
        </w:rPr>
        <w:t>18236290060</w:t>
      </w:r>
      <w:bookmarkEnd w:id="253"/>
      <w:bookmarkEnd w:id="254"/>
      <w:bookmarkEnd w:id="255"/>
      <w:bookmarkEnd w:id="256"/>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u w:val="single"/>
        </w:rPr>
        <w:t xml:space="preserve"> </w:t>
      </w:r>
    </w:p>
    <w:p>
      <w:pPr>
        <w:pStyle w:val="5"/>
        <w:keepNext w:val="0"/>
        <w:keepLines w:val="0"/>
        <w:pageBreakBefore w:val="0"/>
        <w:tabs>
          <w:tab w:val="left" w:pos="525"/>
        </w:tabs>
        <w:kinsoku/>
        <w:overflowPunct/>
        <w:topLinePunct w:val="0"/>
        <w:bidi w:val="0"/>
        <w:snapToGrid/>
        <w:spacing w:before="0" w:after="0" w:line="500" w:lineRule="exact"/>
        <w:ind w:left="210" w:leftChars="100" w:firstLine="0" w:firstLineChars="0"/>
        <w:jc w:val="left"/>
        <w:textAlignment w:val="auto"/>
        <w:rPr>
          <w:rFonts w:eastAsia="宋体" w:cs="宋体"/>
          <w:b w:val="0"/>
          <w:sz w:val="24"/>
          <w:szCs w:val="24"/>
        </w:rPr>
      </w:pPr>
      <w:bookmarkStart w:id="257" w:name="_Toc7139"/>
      <w:bookmarkStart w:id="258" w:name="_Toc22007"/>
      <w:bookmarkStart w:id="259" w:name="_Toc705"/>
      <w:r>
        <w:rPr>
          <w:rFonts w:hint="eastAsia" w:eastAsia="宋体" w:cs="宋体"/>
          <w:b w:val="0"/>
          <w:sz w:val="24"/>
          <w:szCs w:val="24"/>
        </w:rPr>
        <w:t>3.监督单位信息</w:t>
      </w:r>
      <w:bookmarkEnd w:id="241"/>
      <w:bookmarkEnd w:id="242"/>
      <w:bookmarkEnd w:id="243"/>
      <w:bookmarkEnd w:id="244"/>
      <w:bookmarkEnd w:id="245"/>
      <w:bookmarkEnd w:id="246"/>
      <w:bookmarkEnd w:id="247"/>
      <w:bookmarkEnd w:id="248"/>
      <w:bookmarkEnd w:id="257"/>
      <w:bookmarkEnd w:id="258"/>
      <w:bookmarkEnd w:id="259"/>
    </w:p>
    <w:p>
      <w:pPr>
        <w:keepNext w:val="0"/>
        <w:keepLines w:val="0"/>
        <w:pageBreakBefore w:val="0"/>
        <w:kinsoku/>
        <w:overflowPunct/>
        <w:topLinePunct w:val="0"/>
        <w:bidi w:val="0"/>
        <w:snapToGrid/>
        <w:spacing w:line="500" w:lineRule="exact"/>
        <w:ind w:firstLine="720" w:firstLineChars="300"/>
        <w:jc w:val="left"/>
        <w:textAlignment w:val="auto"/>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息县财政局政府采购股</w:t>
      </w:r>
      <w:r>
        <w:rPr>
          <w:rFonts w:hint="eastAsia" w:ascii="宋体" w:hAnsi="宋体" w:eastAsia="宋体" w:cs="宋体"/>
          <w:sz w:val="24"/>
        </w:rPr>
        <w:t>　　</w:t>
      </w:r>
    </w:p>
    <w:p>
      <w:pPr>
        <w:keepNext w:val="0"/>
        <w:keepLines w:val="0"/>
        <w:pageBreakBefore w:val="0"/>
        <w:kinsoku/>
        <w:overflowPunct/>
        <w:topLinePunct w:val="0"/>
        <w:bidi w:val="0"/>
        <w:snapToGrid/>
        <w:spacing w:line="500" w:lineRule="exact"/>
        <w:ind w:firstLine="720" w:firstLineChars="300"/>
        <w:jc w:val="left"/>
        <w:textAlignment w:val="auto"/>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息县谯楼街488号　　　　　</w:t>
      </w:r>
    </w:p>
    <w:p>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张先生                  </w:t>
      </w:r>
    </w:p>
    <w:p>
      <w:pPr>
        <w:keepNext w:val="0"/>
        <w:keepLines w:val="0"/>
        <w:pageBreakBefore w:val="0"/>
        <w:kinsoku/>
        <w:overflowPunct/>
        <w:topLinePunct w:val="0"/>
        <w:bidi w:val="0"/>
        <w:snapToGrid/>
        <w:spacing w:line="500" w:lineRule="exact"/>
        <w:ind w:firstLine="720" w:firstLineChars="300"/>
        <w:jc w:val="left"/>
        <w:textAlignment w:val="auto"/>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xml:space="preserve">  0376-5935027　　　   </w:t>
      </w:r>
      <w:r>
        <w:rPr>
          <w:rFonts w:hint="eastAsia" w:ascii="宋体" w:hAnsi="宋体" w:eastAsia="宋体" w:cs="宋体"/>
          <w:sz w:val="24"/>
        </w:rPr>
        <w:t>　　</w:t>
      </w:r>
    </w:p>
    <w:p>
      <w:pPr>
        <w:pStyle w:val="5"/>
        <w:keepNext w:val="0"/>
        <w:keepLines w:val="0"/>
        <w:pageBreakBefore w:val="0"/>
        <w:tabs>
          <w:tab w:val="left" w:pos="525"/>
        </w:tabs>
        <w:kinsoku/>
        <w:overflowPunct/>
        <w:topLinePunct w:val="0"/>
        <w:bidi w:val="0"/>
        <w:snapToGrid/>
        <w:spacing w:before="0" w:after="0" w:line="500" w:lineRule="exact"/>
        <w:ind w:firstLine="240" w:firstLineChars="100"/>
        <w:jc w:val="left"/>
        <w:textAlignment w:val="auto"/>
        <w:rPr>
          <w:rFonts w:eastAsia="宋体" w:cs="宋体"/>
          <w:b w:val="0"/>
          <w:sz w:val="24"/>
          <w:szCs w:val="24"/>
        </w:rPr>
      </w:pPr>
      <w:bookmarkStart w:id="260" w:name="_Toc23531"/>
      <w:bookmarkStart w:id="261" w:name="_Toc7900"/>
      <w:bookmarkStart w:id="262" w:name="_Toc30706"/>
      <w:bookmarkStart w:id="263" w:name="_Toc25908"/>
      <w:bookmarkStart w:id="264" w:name="_Toc3379"/>
      <w:r>
        <w:rPr>
          <w:rFonts w:hint="eastAsia" w:eastAsia="宋体" w:cs="宋体"/>
          <w:b w:val="0"/>
          <w:sz w:val="24"/>
          <w:szCs w:val="24"/>
        </w:rPr>
        <w:t>4.项目联系方式</w:t>
      </w:r>
      <w:bookmarkEnd w:id="260"/>
      <w:bookmarkEnd w:id="261"/>
      <w:bookmarkEnd w:id="262"/>
      <w:bookmarkEnd w:id="263"/>
      <w:bookmarkEnd w:id="264"/>
    </w:p>
    <w:p>
      <w:pPr>
        <w:pStyle w:val="16"/>
        <w:spacing w:line="500" w:lineRule="exact"/>
        <w:ind w:firstLine="720" w:firstLineChars="300"/>
        <w:jc w:val="left"/>
        <w:rPr>
          <w:rFonts w:hAnsi="宋体" w:cs="宋体"/>
          <w:sz w:val="24"/>
          <w:szCs w:val="24"/>
        </w:rPr>
      </w:pPr>
      <w:r>
        <w:rPr>
          <w:rFonts w:hint="eastAsia" w:hAnsi="宋体" w:cs="宋体"/>
          <w:sz w:val="24"/>
          <w:szCs w:val="24"/>
        </w:rPr>
        <w:t>项目联系人：</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b w:val="0"/>
          <w:bCs w:val="0"/>
          <w:sz w:val="24"/>
          <w:u w:val="single"/>
          <w:lang w:eastAsia="zh-CN"/>
        </w:rPr>
        <w:t>周</w:t>
      </w:r>
      <w:r>
        <w:rPr>
          <w:rFonts w:hint="eastAsia" w:ascii="宋体" w:hAnsi="宋体" w:eastAsia="宋体" w:cs="宋体"/>
          <w:b w:val="0"/>
          <w:bCs w:val="0"/>
          <w:sz w:val="24"/>
          <w:u w:val="single"/>
          <w:lang w:eastAsia="zh-CN"/>
        </w:rPr>
        <w:t>女士</w:t>
      </w:r>
      <w:r>
        <w:rPr>
          <w:rFonts w:hint="eastAsia" w:hAnsi="宋体" w:cs="宋体"/>
          <w:sz w:val="24"/>
          <w:szCs w:val="24"/>
          <w:u w:val="single"/>
        </w:rPr>
        <w:t xml:space="preserve">                </w:t>
      </w:r>
      <w:r>
        <w:rPr>
          <w:rFonts w:hint="eastAsia" w:hAnsi="宋体" w:cs="宋体"/>
          <w:sz w:val="24"/>
          <w:szCs w:val="24"/>
        </w:rPr>
        <w:t xml:space="preserve">    </w:t>
      </w:r>
    </w:p>
    <w:p>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电　　  话：</w:t>
      </w:r>
      <w:r>
        <w:rPr>
          <w:rFonts w:hint="eastAsia" w:ascii="宋体" w:hAnsi="宋体" w:eastAsia="宋体" w:cs="宋体"/>
          <w:sz w:val="24"/>
          <w:u w:val="single"/>
        </w:rPr>
        <w:t xml:space="preserve">  </w:t>
      </w:r>
      <w:r>
        <w:rPr>
          <w:rFonts w:hint="eastAsia" w:ascii="宋体" w:hAnsi="宋体" w:eastAsia="宋体" w:cs="宋体"/>
          <w:b w:val="0"/>
          <w:bCs w:val="0"/>
          <w:sz w:val="24"/>
          <w:u w:val="single"/>
        </w:rPr>
        <w:t>18236290060</w:t>
      </w:r>
      <w:r>
        <w:rPr>
          <w:rFonts w:hint="eastAsia" w:ascii="宋体" w:hAnsi="宋体" w:eastAsia="宋体" w:cs="宋体"/>
          <w:sz w:val="24"/>
          <w:u w:val="single"/>
        </w:rPr>
        <w:t xml:space="preserve">　　　　　 </w:t>
      </w:r>
    </w:p>
    <w:p>
      <w:pPr>
        <w:pStyle w:val="4"/>
        <w:spacing w:line="360" w:lineRule="auto"/>
        <w:ind w:firstLine="3975" w:firstLineChars="900"/>
        <w:jc w:val="both"/>
        <w:rPr>
          <w:rFonts w:ascii="宋体" w:hAnsi="宋体" w:cs="宋体"/>
          <w:szCs w:val="32"/>
        </w:rPr>
        <w:sectPr>
          <w:pgSz w:w="11907" w:h="16840"/>
          <w:pgMar w:top="1230" w:right="1174" w:bottom="1191" w:left="1162" w:header="720" w:footer="720" w:gutter="0"/>
          <w:pgNumType w:start="1"/>
          <w:cols w:space="720" w:num="1"/>
          <w:docGrid w:linePitch="490" w:charSpace="0"/>
        </w:sectPr>
      </w:pPr>
    </w:p>
    <w:p>
      <w:pPr>
        <w:pStyle w:val="4"/>
        <w:bidi w:val="0"/>
        <w:spacing w:before="0" w:beforeAutospacing="0" w:after="0" w:afterAutospacing="0" w:line="240" w:lineRule="auto"/>
        <w:jc w:val="center"/>
        <w:outlineLvl w:val="0"/>
        <w:rPr>
          <w:rFonts w:hint="eastAsia" w:ascii="宋体" w:hAnsi="宋体" w:eastAsia="宋体" w:cs="宋体"/>
          <w:sz w:val="36"/>
          <w:szCs w:val="36"/>
        </w:rPr>
      </w:pPr>
      <w:bookmarkStart w:id="265" w:name="_Toc516822635"/>
      <w:bookmarkEnd w:id="265"/>
      <w:bookmarkStart w:id="266" w:name="_Toc3314"/>
      <w:bookmarkEnd w:id="266"/>
      <w:bookmarkStart w:id="267" w:name="_Toc26618"/>
      <w:bookmarkEnd w:id="267"/>
      <w:bookmarkStart w:id="268" w:name="_Toc18166"/>
      <w:bookmarkEnd w:id="268"/>
      <w:bookmarkStart w:id="269" w:name="_Toc17690"/>
      <w:bookmarkEnd w:id="269"/>
      <w:bookmarkStart w:id="270" w:name="_Toc18006"/>
      <w:r>
        <w:rPr>
          <w:rFonts w:hint="eastAsia" w:ascii="宋体" w:hAnsi="宋体" w:eastAsia="宋体" w:cs="宋体"/>
          <w:sz w:val="36"/>
          <w:szCs w:val="36"/>
          <w:lang w:eastAsia="zh-CN"/>
        </w:rPr>
        <w:t>第二章</w:t>
      </w:r>
      <w:r>
        <w:rPr>
          <w:rFonts w:hint="eastAsia" w:ascii="宋体" w:hAnsi="宋体" w:eastAsia="宋体" w:cs="宋体"/>
          <w:sz w:val="36"/>
          <w:szCs w:val="36"/>
        </w:rPr>
        <w:t xml:space="preserve"> 投标人须知</w:t>
      </w:r>
      <w:bookmarkEnd w:id="270"/>
    </w:p>
    <w:p>
      <w:pPr>
        <w:pStyle w:val="6"/>
        <w:spacing w:before="120" w:beforeAutospacing="0" w:after="120" w:afterAutospacing="0" w:line="240" w:lineRule="auto"/>
        <w:jc w:val="center"/>
        <w:rPr>
          <w:rFonts w:hint="eastAsia" w:ascii="宋体" w:hAnsi="宋体" w:eastAsia="宋体" w:cs="宋体"/>
          <w:b/>
          <w:bCs w:val="0"/>
          <w:color w:val="auto"/>
          <w:sz w:val="24"/>
          <w:szCs w:val="24"/>
          <w:highlight w:val="none"/>
        </w:rPr>
      </w:pPr>
      <w:bookmarkStart w:id="271" w:name="_Toc17828"/>
      <w:bookmarkEnd w:id="271"/>
      <w:bookmarkStart w:id="272" w:name="_Toc31530"/>
      <w:r>
        <w:rPr>
          <w:rFonts w:hint="eastAsia" w:ascii="宋体" w:hAnsi="宋体" w:eastAsia="宋体" w:cs="宋体"/>
          <w:b/>
          <w:bCs w:val="0"/>
          <w:color w:val="auto"/>
          <w:sz w:val="24"/>
          <w:szCs w:val="24"/>
          <w:highlight w:val="none"/>
        </w:rPr>
        <w:t>投标人须知前附表</w:t>
      </w:r>
      <w:bookmarkEnd w:id="272"/>
    </w:p>
    <w:tbl>
      <w:tblPr>
        <w:tblStyle w:val="26"/>
        <w:tblW w:w="10070"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5"/>
        <w:gridCol w:w="629"/>
        <w:gridCol w:w="1251"/>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 款 名 称</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p>
        </w:tc>
        <w:tc>
          <w:tcPr>
            <w:tcW w:w="6904" w:type="dxa"/>
            <w:noWrap w:val="0"/>
            <w:vAlign w:val="center"/>
          </w:tcPr>
          <w:p>
            <w:pPr>
              <w:spacing w:line="500" w:lineRule="exact"/>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采购人：息县教育体育局</w:t>
            </w:r>
          </w:p>
          <w:p>
            <w:pPr>
              <w:spacing w:line="500" w:lineRule="exact"/>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地址：息县境内</w:t>
            </w:r>
          </w:p>
          <w:p>
            <w:pPr>
              <w:spacing w:line="500" w:lineRule="exact"/>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联系人：喻先生</w:t>
            </w:r>
          </w:p>
          <w:p>
            <w:pPr>
              <w:spacing w:beforeAutospacing="0" w:afterAutospacing="0" w:line="460" w:lineRule="exact"/>
              <w:jc w:val="both"/>
              <w:rPr>
                <w:rFonts w:hint="eastAsia" w:ascii="宋体" w:hAnsi="宋体" w:eastAsia="宋体" w:cs="宋体"/>
                <w:color w:val="auto"/>
                <w:sz w:val="24"/>
                <w:szCs w:val="24"/>
                <w:highlight w:val="none"/>
              </w:rPr>
            </w:pPr>
            <w:r>
              <w:rPr>
                <w:rFonts w:hint="eastAsia" w:ascii="宋体" w:hAnsi="宋体" w:eastAsia="宋体" w:cs="宋体"/>
                <w:kern w:val="0"/>
                <w:sz w:val="24"/>
                <w:szCs w:val="24"/>
              </w:rPr>
              <w:t>联系电话：0376-5856376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采购代理机构</w:t>
            </w:r>
          </w:p>
        </w:tc>
        <w:tc>
          <w:tcPr>
            <w:tcW w:w="6904" w:type="dxa"/>
            <w:noWrap w:val="0"/>
            <w:vAlign w:val="center"/>
          </w:tcPr>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lang w:eastAsia="zh-CN"/>
              </w:rPr>
              <w:t>：华睿诚项目管理有限公司</w:t>
            </w: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地址：郑州市郑东新区正光路与众旺路行署国际广场C座四楼</w:t>
            </w: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eastAsia="zh-CN"/>
              </w:rPr>
              <w:t>周</w:t>
            </w:r>
            <w:r>
              <w:rPr>
                <w:rFonts w:hint="eastAsia" w:ascii="宋体" w:hAnsi="宋体" w:eastAsia="宋体" w:cs="宋体"/>
                <w:color w:val="auto"/>
                <w:sz w:val="24"/>
                <w:szCs w:val="24"/>
                <w:highlight w:val="none"/>
                <w:lang w:eastAsia="zh-CN"/>
              </w:rPr>
              <w:t>女士</w:t>
            </w:r>
          </w:p>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联系电话：18236290060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2022年息县义务教育薄弱环节改善与能力提升项目仪器设备采购项目（第二批）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息县</w:t>
            </w:r>
            <w:r>
              <w:rPr>
                <w:rFonts w:hint="eastAsia" w:ascii="宋体" w:hAnsi="宋体" w:cs="宋体"/>
                <w:color w:val="auto"/>
                <w:sz w:val="24"/>
                <w:szCs w:val="24"/>
                <w:highlight w:val="none"/>
                <w:u w:val="none"/>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出资比例</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本项目工程量清单所含全部内容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计划工期</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60</w:t>
            </w:r>
            <w:r>
              <w:rPr>
                <w:rFonts w:hint="eastAsia" w:ascii="宋体" w:hAnsi="宋体" w:eastAsia="宋体" w:cs="宋体"/>
                <w:color w:val="auto"/>
                <w:sz w:val="24"/>
                <w:szCs w:val="24"/>
                <w:highlight w:val="none"/>
                <w:u w:val="none"/>
                <w:lang w:val="en-US" w:eastAsia="zh-CN"/>
              </w:rPr>
              <w:t>日历天</w:t>
            </w:r>
            <w:r>
              <w:rPr>
                <w:rFonts w:hint="eastAsia" w:ascii="宋体" w:hAnsi="宋体" w:cs="宋体"/>
                <w:color w:val="auto"/>
                <w:sz w:val="24"/>
                <w:szCs w:val="24"/>
                <w:highlight w:val="none"/>
                <w:u w:val="no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cs="宋体"/>
                <w:kern w:val="0"/>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投标人资质条件、能力和信誉</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b/>
                <w:bCs/>
                <w:color w:val="FF0000"/>
                <w:sz w:val="24"/>
                <w:szCs w:val="24"/>
                <w:highlight w:val="none"/>
                <w:lang w:eastAsia="zh-CN"/>
              </w:rPr>
            </w:pPr>
            <w:r>
              <w:rPr>
                <w:rFonts w:hint="eastAsia" w:ascii="宋体" w:hAnsi="宋体" w:eastAsia="宋体" w:cs="宋体"/>
                <w:b w:val="0"/>
                <w:bCs w:val="0"/>
                <w:color w:val="auto"/>
                <w:sz w:val="24"/>
                <w:szCs w:val="24"/>
                <w:highlight w:val="non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w:t>
            </w:r>
          </w:p>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0</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  包</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  离</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构成招标文件的其他材料</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根据本章第2.2款和第2.3款对招标文件所作的澄清、修改，构成招标文件的组成部分。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投标人提出问题的截止时间</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投标截止时间</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sz w:val="24"/>
                <w:szCs w:val="24"/>
                <w:highlight w:val="none"/>
                <w:u w:val="single"/>
              </w:rPr>
              <w:t xml:space="preserve">  202</w:t>
            </w:r>
            <w:r>
              <w:rPr>
                <w:rFonts w:hint="eastAsia" w:ascii="宋体" w:hAnsi="宋体" w:eastAsia="宋体" w:cs="宋体"/>
                <w:b w:val="0"/>
                <w:bCs/>
                <w:sz w:val="24"/>
                <w:szCs w:val="24"/>
                <w:highlight w:val="none"/>
                <w:u w:val="single"/>
                <w:lang w:val="en-US" w:eastAsia="zh-CN"/>
              </w:rPr>
              <w:t>3</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4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月</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19  </w:t>
            </w:r>
            <w:r>
              <w:rPr>
                <w:rFonts w:hint="eastAsia" w:ascii="宋体" w:hAnsi="宋体" w:eastAsia="宋体" w:cs="宋体"/>
                <w:b w:val="0"/>
                <w:bCs/>
                <w:sz w:val="24"/>
                <w:szCs w:val="24"/>
                <w:highlight w:val="none"/>
              </w:rPr>
              <w:t>日</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09</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点</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30</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澄清的</w:t>
            </w:r>
          </w:p>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提交投标文件截止时间15日前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5.1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近年完成的类似项目的年份要求</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指</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20</w:t>
            </w:r>
            <w:r>
              <w:rPr>
                <w:rFonts w:hint="eastAsia" w:ascii="宋体" w:hAnsi="宋体" w:cs="宋体"/>
                <w:b w:val="0"/>
                <w:bCs w:val="0"/>
                <w:color w:val="auto"/>
                <w:sz w:val="24"/>
                <w:szCs w:val="24"/>
                <w:highlight w:val="none"/>
                <w:u w:val="single"/>
                <w:lang w:val="en-US" w:eastAsia="zh-CN"/>
              </w:rPr>
              <w:t xml:space="preserve">20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eastAsia="zh-CN"/>
              </w:rPr>
              <w:t>以来（如有）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w:t>
            </w:r>
          </w:p>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电子投标文件</w:t>
            </w:r>
          </w:p>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格式</w:t>
            </w:r>
          </w:p>
        </w:tc>
        <w:tc>
          <w:tcPr>
            <w:tcW w:w="6904" w:type="dxa"/>
            <w:noWrap w:val="0"/>
            <w:vAlign w:val="center"/>
          </w:tcPr>
          <w:p>
            <w:pPr>
              <w:keepNext w:val="0"/>
              <w:keepLines w:val="0"/>
              <w:pageBreakBefore w:val="0"/>
              <w:widowControl w:val="0"/>
              <w:kinsoku/>
              <w:overflowPunct/>
              <w:topLinePunct w:val="0"/>
              <w:bidi w:val="0"/>
              <w:adjustRightInd w:val="0"/>
              <w:snapToGrid w:val="0"/>
              <w:spacing w:beforeAutospacing="0" w:afterAutospacing="0" w:line="500" w:lineRule="exact"/>
              <w:ind w:left="-126" w:leftChars="-60" w:firstLine="120" w:firstLineChars="5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电子投标文件格式文件必须使用信阳市公共资源交易系统指定的投标文件制作工具进行制作。</w:t>
            </w:r>
          </w:p>
          <w:p>
            <w:pPr>
              <w:keepNext w:val="0"/>
              <w:keepLines w:val="0"/>
              <w:pageBreakBefore w:val="0"/>
              <w:widowControl w:val="0"/>
              <w:kinsoku/>
              <w:overflowPunct/>
              <w:topLinePunct w:val="0"/>
              <w:bidi w:val="0"/>
              <w:adjustRightInd w:val="0"/>
              <w:snapToGrid w:val="0"/>
              <w:spacing w:beforeAutospacing="0" w:afterAutospacing="0" w:line="500" w:lineRule="exact"/>
              <w:ind w:left="-126" w:leftChars="-60" w:firstLine="120" w:firstLineChars="5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投标文件格式为“*.XYTF”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3.7.2</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投标文件的制作</w:t>
            </w:r>
          </w:p>
        </w:tc>
        <w:tc>
          <w:tcPr>
            <w:tcW w:w="6904" w:type="dxa"/>
            <w:noWrap w:val="0"/>
            <w:vAlign w:val="center"/>
          </w:tcPr>
          <w:p>
            <w:pPr>
              <w:adjustRightInd w:val="0"/>
              <w:snapToGrid w:val="0"/>
              <w:spacing w:line="500" w:lineRule="exact"/>
              <w:ind w:left="-126" w:leftChars="-60" w:firstLine="120" w:firstLineChars="5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投标人</w:t>
            </w:r>
            <w:r>
              <w:rPr>
                <w:rFonts w:hint="eastAsia" w:ascii="宋体" w:hAnsi="宋体" w:eastAsia="宋体" w:cs="宋体"/>
                <w:sz w:val="24"/>
                <w:szCs w:val="24"/>
              </w:rPr>
              <w:t>通过“</w:t>
            </w:r>
            <w:r>
              <w:rPr>
                <w:rFonts w:hint="eastAsia" w:ascii="宋体" w:hAnsi="宋体" w:eastAsia="宋体" w:cs="宋体"/>
                <w:color w:val="000000"/>
                <w:sz w:val="24"/>
                <w:szCs w:val="24"/>
              </w:rPr>
              <w:t>全国公共资源交易平台（河南省·信阳市）（https://ggzyjy.xinyang.gov.cn/）</w:t>
            </w:r>
            <w:r>
              <w:rPr>
                <w:rFonts w:hint="eastAsia" w:ascii="宋体" w:hAnsi="宋体" w:eastAsia="宋体" w:cs="宋体"/>
                <w:sz w:val="24"/>
                <w:szCs w:val="24"/>
              </w:rPr>
              <w:t>”网站下载中心栏目内下载或招标文件领取页面下载“信阳市投标文件制作工具软件”。</w:t>
            </w:r>
          </w:p>
          <w:p>
            <w:pPr>
              <w:adjustRightInd w:val="0"/>
              <w:snapToGrid w:val="0"/>
              <w:spacing w:line="500" w:lineRule="exact"/>
              <w:ind w:left="-126" w:leftChars="-60" w:firstLine="120" w:firstLineChars="50"/>
              <w:jc w:val="left"/>
              <w:rPr>
                <w:rFonts w:hint="eastAsia" w:ascii="宋体" w:hAnsi="宋体" w:eastAsia="宋体" w:cs="宋体"/>
                <w:sz w:val="24"/>
                <w:szCs w:val="24"/>
              </w:rPr>
            </w:pPr>
            <w:r>
              <w:rPr>
                <w:rFonts w:hint="eastAsia" w:ascii="宋体" w:hAnsi="宋体" w:eastAsia="宋体" w:cs="宋体"/>
                <w:sz w:val="24"/>
                <w:szCs w:val="24"/>
              </w:rPr>
              <w:t>2、使用“信阳市投标文件制作工具”软件制作生成电子投标文件，软件操作手册可在网站下载中心下载或打开软件后在右上角菜单内领取。</w:t>
            </w:r>
          </w:p>
          <w:p>
            <w:pPr>
              <w:adjustRightInd w:val="0"/>
              <w:snapToGrid w:val="0"/>
              <w:spacing w:line="500" w:lineRule="exact"/>
              <w:ind w:left="-126" w:leftChars="-60" w:firstLine="120" w:firstLineChars="5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投标人</w:t>
            </w:r>
            <w:r>
              <w:rPr>
                <w:rFonts w:hint="eastAsia" w:ascii="宋体" w:hAnsi="宋体" w:eastAsia="宋体" w:cs="宋体"/>
                <w:sz w:val="24"/>
                <w:szCs w:val="24"/>
              </w:rPr>
              <w:t>在电子投标文件制作完成后生成投标文件时须加盖电子签章/签名。其他要求签字盖章的投标文件格式内容，如无法进行电子签章/签名，</w:t>
            </w:r>
            <w:r>
              <w:rPr>
                <w:rFonts w:hint="eastAsia" w:ascii="宋体" w:hAnsi="宋体" w:cs="宋体"/>
                <w:sz w:val="24"/>
                <w:szCs w:val="24"/>
                <w:lang w:eastAsia="zh-CN"/>
              </w:rPr>
              <w:t>投标人</w:t>
            </w:r>
            <w:r>
              <w:rPr>
                <w:rFonts w:hint="eastAsia" w:ascii="宋体" w:hAnsi="宋体" w:eastAsia="宋体" w:cs="宋体"/>
                <w:sz w:val="24"/>
                <w:szCs w:val="24"/>
              </w:rPr>
              <w:t>可将盖章/签名后的扫描件上传到电子投标文件中。开标一览表报价将作为电子开标的唱标依据。</w:t>
            </w:r>
          </w:p>
          <w:p>
            <w:pPr>
              <w:adjustRightInd w:val="0"/>
              <w:snapToGrid w:val="0"/>
              <w:spacing w:line="500" w:lineRule="exact"/>
              <w:ind w:left="-126" w:leftChars="-60" w:firstLine="120" w:firstLineChars="50"/>
              <w:jc w:val="left"/>
              <w:rPr>
                <w:rFonts w:hint="eastAsia" w:ascii="宋体" w:hAnsi="宋体" w:eastAsia="宋体" w:cs="宋体"/>
                <w:sz w:val="24"/>
                <w:szCs w:val="24"/>
              </w:rPr>
            </w:pPr>
            <w:r>
              <w:rPr>
                <w:rFonts w:hint="eastAsia" w:ascii="宋体" w:hAnsi="宋体" w:eastAsia="宋体" w:cs="宋体"/>
                <w:sz w:val="24"/>
                <w:szCs w:val="24"/>
              </w:rPr>
              <w:t>4、招标文件格式所要求包含的全部资料应全部制作在投标文件内，严格按照本项目招标文件所有格式如实填写（不涉及的内容除外），不应存在漏项或缺项，否则将存在投标文件被拒绝的风险。</w:t>
            </w:r>
          </w:p>
          <w:p>
            <w:pPr>
              <w:keepNext w:val="0"/>
              <w:keepLines w:val="0"/>
              <w:pageBreakBefore w:val="0"/>
              <w:widowControl w:val="0"/>
              <w:kinsoku/>
              <w:overflowPunct/>
              <w:topLinePunct w:val="0"/>
              <w:bidi w:val="0"/>
              <w:adjustRightInd w:val="0"/>
              <w:snapToGrid w:val="0"/>
              <w:spacing w:beforeAutospacing="0" w:afterAutospacing="0" w:line="500" w:lineRule="exact"/>
              <w:ind w:left="-126" w:leftChars="-60" w:firstLine="120" w:firstLineChars="50"/>
              <w:jc w:val="left"/>
              <w:textAlignment w:val="auto"/>
              <w:rPr>
                <w:rFonts w:hint="eastAsia" w:ascii="宋体" w:hAnsi="宋体" w:eastAsia="宋体" w:cs="宋体"/>
                <w:b/>
                <w:bCs/>
                <w:color w:val="auto"/>
                <w:sz w:val="24"/>
                <w:szCs w:val="24"/>
                <w:highlight w:val="yellow"/>
                <w:lang w:val="en-US" w:eastAsia="zh-CN"/>
              </w:rPr>
            </w:pPr>
            <w:r>
              <w:rPr>
                <w:rFonts w:hint="eastAsia" w:ascii="宋体" w:hAnsi="宋体" w:eastAsia="宋体" w:cs="宋体"/>
                <w:sz w:val="24"/>
                <w:szCs w:val="24"/>
              </w:rPr>
              <w:t>5、</w:t>
            </w:r>
            <w:r>
              <w:rPr>
                <w:rFonts w:hint="eastAsia" w:ascii="宋体" w:hAnsi="宋体" w:cs="宋体"/>
                <w:sz w:val="24"/>
                <w:szCs w:val="24"/>
                <w:lang w:eastAsia="zh-CN"/>
              </w:rPr>
              <w:t>投标人</w:t>
            </w:r>
            <w:r>
              <w:rPr>
                <w:rFonts w:hint="eastAsia" w:ascii="宋体" w:hAnsi="宋体" w:eastAsia="宋体" w:cs="宋体"/>
                <w:sz w:val="24"/>
                <w:szCs w:val="24"/>
              </w:rPr>
              <w:t>编辑电子投标文件时，最后一步生成电子投标文件（*.XYTF 格式）时，请使用本单位的企业 CA 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3.7.3</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签字和盖章要求</w:t>
            </w:r>
          </w:p>
        </w:tc>
        <w:tc>
          <w:tcPr>
            <w:tcW w:w="6904" w:type="dxa"/>
            <w:noWrap w:val="0"/>
            <w:vAlign w:val="center"/>
          </w:tcPr>
          <w:p>
            <w:pPr>
              <w:keepNext w:val="0"/>
              <w:keepLines w:val="0"/>
              <w:pageBreakBefore w:val="0"/>
              <w:widowControl w:val="0"/>
              <w:kinsoku/>
              <w:overflowPunct/>
              <w:topLinePunct w:val="0"/>
              <w:bidi w:val="0"/>
              <w:adjustRightInd w:val="0"/>
              <w:snapToGrid w:val="0"/>
              <w:spacing w:beforeAutospacing="0" w:afterAutospacing="0" w:line="500" w:lineRule="exact"/>
              <w:ind w:left="-126" w:leftChars="-60" w:firstLine="120" w:firstLineChars="5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（1）投标文件格式中所有要求投标人加盖公章的地方都须加盖投标人的CA 印章。</w:t>
            </w:r>
          </w:p>
          <w:p>
            <w:pPr>
              <w:keepNext w:val="0"/>
              <w:keepLines w:val="0"/>
              <w:pageBreakBefore w:val="0"/>
              <w:widowControl w:val="0"/>
              <w:kinsoku/>
              <w:overflowPunct/>
              <w:topLinePunct w:val="0"/>
              <w:bidi w:val="0"/>
              <w:adjustRightInd w:val="0"/>
              <w:snapToGrid w:val="0"/>
              <w:spacing w:beforeAutospacing="0" w:afterAutospacing="0" w:line="500" w:lineRule="exact"/>
              <w:ind w:left="-126" w:leftChars="-60" w:firstLine="120" w:firstLineChars="5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（2）投标文件格式中所有要求法定代表人或其委托代理人签字或盖章的地方都须加盖法定代表人或其委托代理人的CA 印章。</w:t>
            </w:r>
          </w:p>
          <w:p>
            <w:pPr>
              <w:keepNext w:val="0"/>
              <w:keepLines w:val="0"/>
              <w:pageBreakBefore w:val="0"/>
              <w:widowControl w:val="0"/>
              <w:kinsoku/>
              <w:overflowPunct/>
              <w:topLinePunct w:val="0"/>
              <w:bidi w:val="0"/>
              <w:adjustRightInd w:val="0"/>
              <w:snapToGrid w:val="0"/>
              <w:spacing w:beforeAutospacing="0" w:afterAutospacing="0" w:line="500" w:lineRule="exact"/>
              <w:ind w:left="-126" w:leftChars="-60" w:firstLine="120" w:firstLineChars="50"/>
              <w:jc w:val="left"/>
              <w:textAlignment w:val="auto"/>
              <w:rPr>
                <w:rFonts w:hint="default"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none"/>
                <w:lang w:val="en-US" w:eastAsia="zh-CN"/>
              </w:rPr>
              <w:t>（3）工程量清单报价封面的签字、盖章要求：采用电子版工程量清单报价的清单封面须加盖投标人CA印章、法定代表人或委托代理人的CA印章。</w:t>
            </w:r>
            <w:r>
              <w:rPr>
                <w:rFonts w:hint="eastAsia" w:ascii="宋体" w:hAnsi="宋体" w:eastAsia="宋体" w:cs="宋体"/>
                <w:b/>
                <w:bCs/>
                <w:color w:val="auto"/>
                <w:sz w:val="24"/>
                <w:szCs w:val="24"/>
                <w:highlight w:val="none"/>
                <w:lang w:val="en-US" w:eastAsia="zh-CN"/>
              </w:rPr>
              <w:t>已标价的工程量清单封面应由造价人员签字并盖章.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3.7</w:t>
            </w:r>
            <w:r>
              <w:rPr>
                <w:rFonts w:hint="eastAsia" w:ascii="宋体" w:hAnsi="宋体" w:eastAsia="宋体" w:cs="宋体"/>
                <w:b w:val="0"/>
                <w:bCs w:val="0"/>
                <w:color w:val="auto"/>
                <w:sz w:val="24"/>
                <w:szCs w:val="24"/>
                <w:highlight w:val="none"/>
                <w:lang w:val="en-US" w:eastAsia="zh-CN"/>
              </w:rPr>
              <w:t>.4</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投标文件份数</w:t>
            </w:r>
          </w:p>
        </w:tc>
        <w:tc>
          <w:tcPr>
            <w:tcW w:w="6904" w:type="dxa"/>
            <w:noWrap w:val="0"/>
            <w:vAlign w:val="center"/>
          </w:tcPr>
          <w:p>
            <w:pPr>
              <w:keepNext w:val="0"/>
              <w:keepLines w:val="0"/>
              <w:pageBreakBefore w:val="0"/>
              <w:widowControl w:val="0"/>
              <w:kinsoku/>
              <w:overflowPunct/>
              <w:topLinePunct w:val="0"/>
              <w:bidi w:val="0"/>
              <w:adjustRightInd w:val="0"/>
              <w:snapToGrid w:val="0"/>
              <w:spacing w:beforeAutospacing="0" w:afterAutospacing="0" w:line="5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加密的电子投标文件壹份（*.XYTF 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投标文件的递交</w:t>
            </w:r>
          </w:p>
        </w:tc>
        <w:tc>
          <w:tcPr>
            <w:tcW w:w="6904" w:type="dxa"/>
            <w:noWrap w:val="0"/>
            <w:vAlign w:val="center"/>
          </w:tcPr>
          <w:p>
            <w:pPr>
              <w:adjustRightInd w:val="0"/>
              <w:snapToGrid w:val="0"/>
              <w:spacing w:beforeAutospacing="0" w:afterAutospacing="0" w:line="500" w:lineRule="exact"/>
              <w:ind w:left="-126" w:leftChars="-60" w:firstLine="120" w:firstLineChars="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1、电子投标文件的递交</w:t>
            </w:r>
          </w:p>
          <w:p>
            <w:pPr>
              <w:adjustRightInd w:val="0"/>
              <w:snapToGrid w:val="0"/>
              <w:spacing w:beforeAutospacing="0" w:afterAutospacing="0" w:line="500" w:lineRule="exact"/>
              <w:ind w:left="-126" w:leftChars="-60" w:firstLine="120" w:firstLineChars="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应在投标截止时间前上传加密的电子投标文件（*.XYTF）到会员系统的指定位置。上传时必须得到交易系统“上传成功”的确认回复后方为上传成功。请</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在上传前务必认真检查上传投标文件是否完整、正确。</w:t>
            </w:r>
          </w:p>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szCs w:val="24"/>
                <w:lang w:val="en-US" w:eastAsia="zh-CN"/>
              </w:rPr>
              <w:t xml:space="preserve">2、本项目采用“不见面开标”交易方式，不见面开标大厅网址为 </w:t>
            </w:r>
            <w:r>
              <w:rPr>
                <w:rFonts w:hint="eastAsia" w:ascii="宋体" w:hAnsi="宋体" w:cs="宋体"/>
                <w:sz w:val="24"/>
                <w:szCs w:val="24"/>
                <w:lang w:val="en-US" w:eastAsia="zh-CN"/>
              </w:rPr>
              <w:t>https://ggzyjy.xinyang.gov.cn/</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投标人</w:t>
            </w:r>
            <w:r>
              <w:rPr>
                <w:rFonts w:hint="eastAsia" w:ascii="宋体" w:hAnsi="宋体" w:eastAsia="宋体" w:cs="宋体"/>
                <w:sz w:val="24"/>
                <w:szCs w:val="24"/>
                <w:lang w:val="en-US" w:eastAsia="zh-CN"/>
              </w:rPr>
              <w:t>无需寄送和递交非加密的电子投标文件，无需到现场参加开标会议，无需到达现场提交原件资料。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w:t>
            </w:r>
          </w:p>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地点</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sz w:val="24"/>
                <w:szCs w:val="24"/>
              </w:rPr>
              <w:t>全国公共资源交易平台（河南省·息县）不见面开标大厅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开标地点：同投标文件</w:t>
            </w:r>
            <w:r>
              <w:rPr>
                <w:rFonts w:hint="eastAsia" w:ascii="宋体" w:hAnsi="宋体" w:eastAsia="宋体" w:cs="宋体"/>
                <w:color w:val="auto"/>
                <w:sz w:val="24"/>
                <w:szCs w:val="24"/>
                <w:highlight w:val="none"/>
                <w:lang w:eastAsia="zh-CN"/>
              </w:rPr>
              <w:t>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w:t>
            </w:r>
          </w:p>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w:t>
            </w:r>
          </w:p>
        </w:tc>
        <w:tc>
          <w:tcPr>
            <w:tcW w:w="6904" w:type="dxa"/>
            <w:noWrap w:val="0"/>
            <w:vAlign w:val="center"/>
          </w:tcPr>
          <w:p>
            <w:pPr>
              <w:keepNext w:val="0"/>
              <w:keepLines w:val="0"/>
              <w:pageBreakBefore w:val="0"/>
              <w:kinsoku/>
              <w:overflowPunct/>
              <w:topLinePunct w:val="0"/>
              <w:bidi w:val="0"/>
              <w:spacing w:beforeAutospacing="0" w:afterAutospacing="0" w:line="500" w:lineRule="exact"/>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p>
          <w:p>
            <w:pPr>
              <w:keepNext w:val="0"/>
              <w:keepLines w:val="0"/>
              <w:pageBreakBefore w:val="0"/>
              <w:kinsoku/>
              <w:overflowPunct/>
              <w:topLinePunct w:val="0"/>
              <w:bidi w:val="0"/>
              <w:spacing w:beforeAutospacing="0" w:afterAutospacing="0" w:line="500" w:lineRule="exact"/>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其中业主评委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t>人，评标专家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w:t>
            </w:r>
          </w:p>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从河南省综合评标专家库中随机抽取方式确定。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本次评标采用的</w:t>
            </w:r>
          </w:p>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综合评估法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评标方式</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网络电子评标(默认)</w:t>
            </w:r>
          </w:p>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是</w:t>
            </w:r>
          </w:p>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否，推荐的中标候选人数：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1-3名</w:t>
            </w: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tc>
        <w:tc>
          <w:tcPr>
            <w:tcW w:w="6904"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类似项目是指：类似或近似施工方法、施工工艺、施工内容的施工项目业绩。（如有）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61" w:type="dxa"/>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w:t>
            </w: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不良行为记录</w:t>
            </w:r>
          </w:p>
        </w:tc>
        <w:tc>
          <w:tcPr>
            <w:tcW w:w="6904" w:type="dxa"/>
            <w:noWrap w:val="0"/>
            <w:vAlign w:val="center"/>
          </w:tcPr>
          <w:p>
            <w:pPr>
              <w:pStyle w:val="2"/>
              <w:keepNext w:val="0"/>
              <w:keepLines w:val="0"/>
              <w:pageBreakBefore w:val="0"/>
              <w:kinsoku/>
              <w:overflowPunct/>
              <w:topLinePunct w:val="0"/>
              <w:bidi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不良行为记录是指：建筑市场各方主体在工程建设过程中违反有关工程建设的法律、法规、规章或强制性标准和执业行为规范，经县级以上建设行政主管部门或其委托的执法监督机构查实和行政处罚，形成的不良行为记录，且在行政处罚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241" w:firstLineChars="1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10.2  招标控制价</w:t>
            </w:r>
            <w:r>
              <w:rPr>
                <w:rFonts w:hint="eastAsia" w:ascii="宋体" w:hAnsi="宋体" w:eastAsia="宋体" w:cs="宋体"/>
                <w:b/>
                <w:bCs/>
                <w:color w:val="auto"/>
                <w:sz w:val="24"/>
                <w:szCs w:val="24"/>
                <w:highlight w:val="none"/>
                <w:lang w:eastAsia="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1" w:type="dxa"/>
            <w:vMerge w:val="restart"/>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lang w:eastAsia="zh-CN"/>
              </w:rPr>
            </w:pPr>
          </w:p>
        </w:tc>
        <w:tc>
          <w:tcPr>
            <w:tcW w:w="1905"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招标控制价</w:t>
            </w:r>
          </w:p>
        </w:tc>
        <w:tc>
          <w:tcPr>
            <w:tcW w:w="6904" w:type="dxa"/>
            <w:noWrap w:val="0"/>
            <w:vAlign w:val="center"/>
          </w:tcPr>
          <w:p>
            <w:pPr>
              <w:pStyle w:val="35"/>
              <w:keepNext w:val="0"/>
              <w:keepLines w:val="0"/>
              <w:pageBreakBefore w:val="0"/>
              <w:kinsoku/>
              <w:overflowPunct/>
              <w:topLinePunct w:val="0"/>
              <w:bidi w:val="0"/>
              <w:spacing w:beforeAutospacing="0" w:afterAutospacing="0" w:line="500" w:lineRule="exact"/>
              <w:textAlignment w:val="auto"/>
              <w:rPr>
                <w:rFonts w:hint="default"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1906455.91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1" w:type="dxa"/>
            <w:vMerge w:val="continue"/>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lang w:eastAsia="zh-CN"/>
              </w:rPr>
            </w:pPr>
          </w:p>
        </w:tc>
        <w:tc>
          <w:tcPr>
            <w:tcW w:w="654" w:type="dxa"/>
            <w:gridSpan w:val="2"/>
            <w:vMerge w:val="restart"/>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其中</w:t>
            </w:r>
          </w:p>
        </w:tc>
        <w:tc>
          <w:tcPr>
            <w:tcW w:w="1251" w:type="dxa"/>
            <w:noWrap w:val="0"/>
            <w:vAlign w:val="center"/>
          </w:tcPr>
          <w:p>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b/>
                <w:bCs/>
                <w:sz w:val="24"/>
                <w:szCs w:val="24"/>
                <w:highlight w:val="none"/>
                <w:vertAlign w:val="baseline"/>
              </w:rPr>
            </w:pPr>
            <w:r>
              <w:rPr>
                <w:rFonts w:hint="eastAsia" w:ascii="宋体" w:hAnsi="宋体" w:eastAsia="宋体" w:cs="宋体"/>
                <w:b/>
                <w:bCs/>
                <w:sz w:val="24"/>
                <w:szCs w:val="24"/>
                <w:highlight w:val="none"/>
                <w:vertAlign w:val="baseline"/>
              </w:rPr>
              <w:t>安全文明施工</w:t>
            </w:r>
          </w:p>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z w:val="24"/>
                <w:szCs w:val="24"/>
                <w:highlight w:val="none"/>
                <w:vertAlign w:val="baseline"/>
              </w:rPr>
              <w:t>措施费</w:t>
            </w:r>
          </w:p>
        </w:tc>
        <w:tc>
          <w:tcPr>
            <w:tcW w:w="6904" w:type="dxa"/>
            <w:noWrap w:val="0"/>
            <w:vAlign w:val="center"/>
          </w:tcPr>
          <w:p>
            <w:pPr>
              <w:pStyle w:val="35"/>
              <w:keepNext w:val="0"/>
              <w:keepLines w:val="0"/>
              <w:pageBreakBefore w:val="0"/>
              <w:kinsoku/>
              <w:overflowPunct/>
              <w:topLinePunct w:val="0"/>
              <w:bidi w:val="0"/>
              <w:spacing w:beforeAutospacing="0" w:afterAutospacing="0" w:line="500" w:lineRule="exact"/>
              <w:textAlignment w:val="auto"/>
              <w:rPr>
                <w:rFonts w:hint="default"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11399.58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1" w:type="dxa"/>
            <w:vMerge w:val="continue"/>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lang w:eastAsia="zh-CN"/>
              </w:rPr>
            </w:pPr>
          </w:p>
        </w:tc>
        <w:tc>
          <w:tcPr>
            <w:tcW w:w="654" w:type="dxa"/>
            <w:gridSpan w:val="2"/>
            <w:vMerge w:val="continue"/>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cs="宋体"/>
                <w:b/>
                <w:bCs/>
                <w:color w:val="auto"/>
                <w:kern w:val="2"/>
                <w:sz w:val="24"/>
                <w:szCs w:val="24"/>
                <w:highlight w:val="none"/>
                <w:lang w:val="en-US" w:eastAsia="zh-CN" w:bidi="ar-SA"/>
              </w:rPr>
            </w:pPr>
          </w:p>
        </w:tc>
        <w:tc>
          <w:tcPr>
            <w:tcW w:w="1251" w:type="dxa"/>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z w:val="24"/>
                <w:szCs w:val="24"/>
                <w:highlight w:val="none"/>
              </w:rPr>
              <w:t>规费</w:t>
            </w:r>
          </w:p>
        </w:tc>
        <w:tc>
          <w:tcPr>
            <w:tcW w:w="6904" w:type="dxa"/>
            <w:noWrap w:val="0"/>
            <w:vAlign w:val="center"/>
          </w:tcPr>
          <w:p>
            <w:pPr>
              <w:pStyle w:val="35"/>
              <w:keepNext w:val="0"/>
              <w:keepLines w:val="0"/>
              <w:pageBreakBefore w:val="0"/>
              <w:kinsoku/>
              <w:overflowPunct/>
              <w:topLinePunct w:val="0"/>
              <w:bidi w:val="0"/>
              <w:spacing w:beforeAutospacing="0" w:afterAutospacing="0" w:line="500" w:lineRule="exact"/>
              <w:textAlignment w:val="auto"/>
              <w:rPr>
                <w:rFonts w:hint="default"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14464.19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1" w:type="dxa"/>
            <w:vMerge w:val="continue"/>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lang w:eastAsia="zh-CN"/>
              </w:rPr>
            </w:pPr>
          </w:p>
        </w:tc>
        <w:tc>
          <w:tcPr>
            <w:tcW w:w="654" w:type="dxa"/>
            <w:gridSpan w:val="2"/>
            <w:vMerge w:val="continue"/>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cs="宋体"/>
                <w:b/>
                <w:bCs/>
                <w:color w:val="auto"/>
                <w:kern w:val="2"/>
                <w:sz w:val="24"/>
                <w:szCs w:val="24"/>
                <w:highlight w:val="none"/>
                <w:lang w:val="en-US" w:eastAsia="zh-CN" w:bidi="ar-SA"/>
              </w:rPr>
            </w:pPr>
          </w:p>
        </w:tc>
        <w:tc>
          <w:tcPr>
            <w:tcW w:w="1251" w:type="dxa"/>
            <w:noWrap w:val="0"/>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税金</w:t>
            </w:r>
          </w:p>
        </w:tc>
        <w:tc>
          <w:tcPr>
            <w:tcW w:w="6904" w:type="dxa"/>
            <w:noWrap w:val="0"/>
            <w:vAlign w:val="center"/>
          </w:tcPr>
          <w:p>
            <w:pPr>
              <w:pStyle w:val="35"/>
              <w:keepNext w:val="0"/>
              <w:keepLines w:val="0"/>
              <w:pageBreakBefore w:val="0"/>
              <w:kinsoku/>
              <w:overflowPunct/>
              <w:topLinePunct w:val="0"/>
              <w:bidi w:val="0"/>
              <w:spacing w:beforeAutospacing="0" w:afterAutospacing="0" w:line="500" w:lineRule="exact"/>
              <w:textAlignment w:val="auto"/>
              <w:rPr>
                <w:rFonts w:hint="default"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bidi="ar-SA"/>
              </w:rPr>
              <w:t>157413.78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61" w:type="dxa"/>
            <w:vMerge w:val="continue"/>
            <w:noWrap w:val="0"/>
            <w:vAlign w:val="center"/>
          </w:tcPr>
          <w:p>
            <w:pPr>
              <w:keepNext w:val="0"/>
              <w:keepLines w:val="0"/>
              <w:pageBreakBefore w:val="0"/>
              <w:kinsoku/>
              <w:overflowPunct/>
              <w:topLinePunct w:val="0"/>
              <w:bidi w:val="0"/>
              <w:adjustRightInd w:val="0"/>
              <w:snapToGrid w:val="0"/>
              <w:spacing w:beforeAutospacing="0" w:afterAutospacing="0" w:line="500" w:lineRule="exact"/>
              <w:jc w:val="center"/>
              <w:textAlignment w:val="auto"/>
              <w:rPr>
                <w:rFonts w:hint="eastAsia" w:ascii="宋体" w:hAnsi="宋体" w:eastAsia="宋体" w:cs="宋体"/>
                <w:b/>
                <w:bCs/>
                <w:color w:val="auto"/>
                <w:sz w:val="24"/>
                <w:szCs w:val="24"/>
                <w:highlight w:val="none"/>
                <w:lang w:eastAsia="zh-CN"/>
              </w:rPr>
            </w:pPr>
          </w:p>
        </w:tc>
        <w:tc>
          <w:tcPr>
            <w:tcW w:w="8809" w:type="dxa"/>
            <w:gridSpan w:val="4"/>
            <w:noWrap w:val="0"/>
            <w:vAlign w:val="center"/>
          </w:tcPr>
          <w:p>
            <w:pPr>
              <w:pStyle w:val="35"/>
              <w:keepNext w:val="0"/>
              <w:keepLines w:val="0"/>
              <w:pageBreakBefore w:val="0"/>
              <w:kinsoku/>
              <w:overflowPunct/>
              <w:topLinePunct w:val="0"/>
              <w:bidi w:val="0"/>
              <w:spacing w:beforeAutospacing="0" w:afterAutospacing="0" w:line="500" w:lineRule="exact"/>
              <w:textAlignment w:val="auto"/>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sz w:val="24"/>
                <w:szCs w:val="24"/>
                <w:highlight w:val="none"/>
                <w:vertAlign w:val="baseline"/>
                <w:lang w:val="en-US" w:eastAsia="zh-CN"/>
              </w:rPr>
              <w:t>注：各投标人投标报价、安全文明施工措施费、规费、税金均不得超过相对应报价，否则按无效标处理。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86" w:type="dxa"/>
            <w:gridSpan w:val="2"/>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p>
        </w:tc>
        <w:tc>
          <w:tcPr>
            <w:tcW w:w="8784"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在中标通知书发出前，</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将中标候选人的情况在本招标项目招标公告发布的同一媒介予以公示，公示期不少于3日。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left="-105" w:leftChars="-5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286" w:type="dxa"/>
            <w:gridSpan w:val="2"/>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p>
        </w:tc>
        <w:tc>
          <w:tcPr>
            <w:tcW w:w="8784"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构成本招标文件各个组成部分的文件，未经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同意，投标人不得擅自复印和用于非本招标项目所需的其他目的。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86" w:type="dxa"/>
            <w:gridSpan w:val="2"/>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p>
        </w:tc>
        <w:tc>
          <w:tcPr>
            <w:tcW w:w="8784"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除投标人须知正文第8条规定的情形外，除非已经产生中标候选人，在投标有效期内同意延长投标有效期的投标人少于三个的，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left="-105" w:leftChars="-5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286" w:type="dxa"/>
            <w:gridSpan w:val="2"/>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p>
        </w:tc>
        <w:tc>
          <w:tcPr>
            <w:tcW w:w="8784"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构成招标文件组成部分的“通用合同条款”、“专用合同条款”、“技术标准和要求”和“工程量清单”等章节中出现的措辞“发包人”和“承包人”，在招标投标阶段应当分别按“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left="-105" w:leftChars="-5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  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86" w:type="dxa"/>
            <w:gridSpan w:val="2"/>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p>
        </w:tc>
        <w:tc>
          <w:tcPr>
            <w:tcW w:w="8784"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本项目的招标投标活动及其相关当事人应当接受有管辖权的行政监督部门依法实施的监督。</w:t>
            </w:r>
          </w:p>
          <w:p>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sz w:val="24"/>
                <w:u w:val="single"/>
              </w:rPr>
              <w:t>息县财政局政府采购股</w:t>
            </w:r>
            <w:r>
              <w:rPr>
                <w:rFonts w:hint="eastAsia" w:ascii="宋体" w:hAnsi="宋体" w:eastAsia="宋体" w:cs="宋体"/>
                <w:color w:val="auto"/>
                <w:sz w:val="24"/>
                <w:szCs w:val="24"/>
                <w:highlight w:val="none"/>
                <w:u w:val="single"/>
              </w:rPr>
              <w:t xml:space="preserve">  </w:t>
            </w:r>
          </w:p>
          <w:p>
            <w:pPr>
              <w:keepNext w:val="0"/>
              <w:keepLines w:val="0"/>
              <w:pageBreakBefore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息县</w:t>
            </w:r>
            <w:r>
              <w:rPr>
                <w:rFonts w:hint="eastAsia" w:ascii="宋体" w:hAnsi="宋体" w:eastAsia="宋体" w:cs="宋体"/>
                <w:color w:val="auto"/>
                <w:sz w:val="24"/>
                <w:szCs w:val="24"/>
                <w:highlight w:val="none"/>
                <w:u w:val="single"/>
                <w:lang w:eastAsia="zh-CN"/>
              </w:rPr>
              <w:t>境内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lang w:val="en-US" w:eastAsia="zh-CN"/>
              </w:rPr>
              <w:t>10.10</w:t>
            </w:r>
            <w:r>
              <w:rPr>
                <w:rFonts w:hint="eastAsia" w:ascii="宋体" w:hAnsi="宋体" w:eastAsia="宋体" w:cs="宋体"/>
                <w:color w:val="auto"/>
                <w:sz w:val="24"/>
                <w:szCs w:val="24"/>
                <w:highlight w:val="none"/>
              </w:rPr>
              <w:t>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86" w:type="dxa"/>
            <w:gridSpan w:val="2"/>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p>
        </w:tc>
        <w:tc>
          <w:tcPr>
            <w:tcW w:w="8784"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代理服务费由中标人支付，参照《招标代理合同》约定及相关规定收取，具体标准参照《国家发展改革委关于进一步放开建设项目专业服务价格的通知》发改价格[2015]299号文件、</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left="-105" w:leftChars="-5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86" w:type="dxa"/>
            <w:gridSpan w:val="2"/>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p>
        </w:tc>
        <w:tc>
          <w:tcPr>
            <w:tcW w:w="8784"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86" w:type="dxa"/>
            <w:gridSpan w:val="2"/>
            <w:noWrap w:val="0"/>
            <w:vAlign w:val="center"/>
          </w:tcPr>
          <w:p>
            <w:pPr>
              <w:keepNext w:val="0"/>
              <w:keepLines w:val="0"/>
              <w:pageBreakBefore w:val="0"/>
              <w:kinsoku/>
              <w:overflowPunct/>
              <w:topLinePunct w:val="0"/>
              <w:bidi w:val="0"/>
              <w:adjustRightInd w:val="0"/>
              <w:snapToGrid w:val="0"/>
              <w:spacing w:beforeAutospacing="0" w:afterAutospacing="0" w:line="500" w:lineRule="exact"/>
              <w:textAlignment w:val="auto"/>
              <w:rPr>
                <w:rFonts w:hint="eastAsia" w:ascii="宋体" w:hAnsi="宋体" w:eastAsia="宋体" w:cs="宋体"/>
                <w:color w:val="auto"/>
                <w:sz w:val="24"/>
                <w:szCs w:val="24"/>
                <w:highlight w:val="none"/>
              </w:rPr>
            </w:pPr>
          </w:p>
        </w:tc>
        <w:tc>
          <w:tcPr>
            <w:tcW w:w="8784" w:type="dxa"/>
            <w:gridSpan w:val="3"/>
            <w:noWrap w:val="0"/>
            <w:vAlign w:val="center"/>
          </w:tcPr>
          <w:p>
            <w:pPr>
              <w:keepNext w:val="0"/>
              <w:keepLines w:val="0"/>
              <w:pageBreakBefore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w:t>
            </w:r>
            <w:r>
              <w:rPr>
                <w:rFonts w:hint="eastAsia" w:ascii="宋体" w:hAnsi="宋体" w:eastAsia="宋体" w:cs="宋体"/>
                <w:color w:val="auto"/>
                <w:sz w:val="24"/>
                <w:szCs w:val="24"/>
                <w:highlight w:val="none"/>
              </w:rPr>
              <w:t>或者其他利害关系人对招标文件有异议的，应当在投标截止时间10日前提出。</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应当自收到异议之日起3日内作出答复；作出答复前，应当暂停招标投标活动。</w:t>
            </w:r>
          </w:p>
          <w:p>
            <w:pPr>
              <w:keepNext w:val="0"/>
              <w:keepLines w:val="0"/>
              <w:pageBreakBefore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投标人对开标有异议的，应当在开标现场提出，</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应当当场作出答复，并制作记录。</w:t>
            </w:r>
          </w:p>
          <w:p>
            <w:pPr>
              <w:keepNext w:val="0"/>
              <w:keepLines w:val="0"/>
              <w:pageBreakBefore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投标人或者其他利害关系人对依法必须进行招标的项目的评标结果有异议的，应当在中标候选人公示期间提出。</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70" w:type="dxa"/>
            <w:gridSpan w:val="5"/>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120" w:firstLine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10.13  </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070" w:type="dxa"/>
            <w:gridSpan w:val="5"/>
            <w:noWrap w:val="0"/>
            <w:vAlign w:val="center"/>
          </w:tcPr>
          <w:p>
            <w:pPr>
              <w:keepNext w:val="0"/>
              <w:keepLines w:val="0"/>
              <w:pageBreakBefore w:val="0"/>
              <w:kinsoku/>
              <w:overflowPunct/>
              <w:topLinePunct w:val="0"/>
              <w:bidi w:val="0"/>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val="en-US" w:eastAsia="zh-CN"/>
              </w:rPr>
              <w:t>10.13.1</w:t>
            </w:r>
            <w:r>
              <w:rPr>
                <w:rFonts w:hint="eastAsia" w:ascii="宋体" w:hAnsi="宋体" w:eastAsia="宋体" w:cs="宋体"/>
                <w:color w:val="auto"/>
                <w:sz w:val="24"/>
                <w:szCs w:val="24"/>
                <w:highlight w:val="none"/>
                <w:u w:val="none"/>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gridSpan w:val="2"/>
            <w:noWrap w:val="0"/>
            <w:vAlign w:val="center"/>
          </w:tcPr>
          <w:p>
            <w:pPr>
              <w:keepNext w:val="0"/>
              <w:keepLines w:val="0"/>
              <w:pageBreakBefore w:val="0"/>
              <w:kinsoku/>
              <w:overflowPunct/>
              <w:topLinePunct w:val="0"/>
              <w:bidi w:val="0"/>
              <w:spacing w:beforeAutospacing="0" w:afterAutospacing="0" w:line="500" w:lineRule="exact"/>
              <w:jc w:val="center"/>
              <w:textAlignment w:val="auto"/>
              <w:rPr>
                <w:rFonts w:hint="default" w:ascii="宋体" w:hAnsi="宋体" w:eastAsia="宋体" w:cs="宋体"/>
                <w:b/>
                <w:bCs/>
                <w:color w:val="auto"/>
                <w:sz w:val="24"/>
                <w:szCs w:val="24"/>
                <w:highlight w:val="none"/>
                <w:u w:val="none"/>
                <w:lang w:val="en-US"/>
              </w:rPr>
            </w:pPr>
          </w:p>
        </w:tc>
        <w:tc>
          <w:tcPr>
            <w:tcW w:w="8784" w:type="dxa"/>
            <w:gridSpan w:val="3"/>
            <w:noWrap w:val="0"/>
            <w:vAlign w:val="center"/>
          </w:tcPr>
          <w:p>
            <w:pPr>
              <w:keepNext w:val="0"/>
              <w:keepLines w:val="0"/>
              <w:pageBreakBefore w:val="0"/>
              <w:kinsoku/>
              <w:overflowPunct/>
              <w:topLinePunct w:val="0"/>
              <w:bidi w:val="0"/>
              <w:adjustRightInd w:val="0"/>
              <w:snapToGrid w:val="0"/>
              <w:spacing w:beforeAutospacing="0" w:afterAutospacing="0" w:line="500" w:lineRule="exact"/>
              <w:ind w:firstLine="482" w:firstLineChars="200"/>
              <w:textAlignment w:val="auto"/>
              <w:rPr>
                <w:rFonts w:hint="eastAsia"/>
                <w:lang w:eastAsia="zh-CN"/>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070" w:type="dxa"/>
            <w:gridSpan w:val="5"/>
            <w:noWrap w:val="0"/>
            <w:vAlign w:val="center"/>
          </w:tcPr>
          <w:p>
            <w:pPr>
              <w:keepNext w:val="0"/>
              <w:keepLines w:val="0"/>
              <w:pageBreakBefore w:val="0"/>
              <w:kinsoku/>
              <w:overflowPunct/>
              <w:topLinePunct w:val="0"/>
              <w:bidi w:val="0"/>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val="en-US" w:eastAsia="zh-CN"/>
              </w:rPr>
              <w:t>10.13.2技术支持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6" w:type="dxa"/>
            <w:gridSpan w:val="2"/>
            <w:noWrap w:val="0"/>
            <w:vAlign w:val="center"/>
          </w:tcPr>
          <w:p>
            <w:pPr>
              <w:keepNext w:val="0"/>
              <w:keepLines w:val="0"/>
              <w:pageBreakBefore w:val="0"/>
              <w:kinsoku/>
              <w:overflowPunct/>
              <w:topLinePunct w:val="0"/>
              <w:bidi w:val="0"/>
              <w:spacing w:beforeAutospacing="0" w:afterAutospacing="0" w:line="500" w:lineRule="exact"/>
              <w:jc w:val="both"/>
              <w:textAlignment w:val="auto"/>
              <w:rPr>
                <w:rFonts w:hint="eastAsia" w:ascii="宋体" w:hAnsi="宋体" w:eastAsia="宋体" w:cs="宋体"/>
                <w:color w:val="auto"/>
                <w:sz w:val="24"/>
                <w:szCs w:val="24"/>
                <w:highlight w:val="none"/>
                <w:u w:val="none"/>
                <w:lang w:val="en-US" w:eastAsia="zh-CN"/>
              </w:rPr>
            </w:pPr>
          </w:p>
        </w:tc>
        <w:tc>
          <w:tcPr>
            <w:tcW w:w="8784" w:type="dxa"/>
            <w:gridSpan w:val="3"/>
            <w:noWrap w:val="0"/>
            <w:vAlign w:val="center"/>
          </w:tcPr>
          <w:p>
            <w:pPr>
              <w:keepNext w:val="0"/>
              <w:keepLines w:val="0"/>
              <w:pageBreakBefore w:val="0"/>
              <w:kinsoku/>
              <w:overflowPunct/>
              <w:topLinePunct w:val="0"/>
              <w:bidi w:val="0"/>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息县公共资源交易中心</w:t>
            </w:r>
          </w:p>
          <w:p>
            <w:pPr>
              <w:keepNext w:val="0"/>
              <w:keepLines w:val="0"/>
              <w:pageBreakBefore w:val="0"/>
              <w:kinsoku/>
              <w:overflowPunct/>
              <w:topLinePunct w:val="0"/>
              <w:bidi w:val="0"/>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址：河南省信阳市息县市民之家</w:t>
            </w:r>
          </w:p>
          <w:p>
            <w:pPr>
              <w:keepNext w:val="0"/>
              <w:keepLines w:val="0"/>
              <w:pageBreakBefore w:val="0"/>
              <w:kinsoku/>
              <w:overflowPunct/>
              <w:topLinePunct w:val="0"/>
              <w:bidi w:val="0"/>
              <w:spacing w:beforeAutospacing="0" w:afterAutospacing="0"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电子交易系统技术支持电话：0376-6369677</w:t>
            </w:r>
            <w:r>
              <w:rPr>
                <w:rFonts w:hint="eastAsia" w:ascii="宋体" w:hAnsi="宋体" w:eastAsia="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6" w:type="dxa"/>
            <w:gridSpan w:val="2"/>
            <w:noWrap w:val="0"/>
            <w:vAlign w:val="center"/>
          </w:tcPr>
          <w:p>
            <w:pPr>
              <w:pStyle w:val="16"/>
              <w:keepNext w:val="0"/>
              <w:keepLines w:val="0"/>
              <w:pageBreakBefore w:val="0"/>
              <w:kinsoku/>
              <w:overflowPunct/>
              <w:topLinePunct w:val="0"/>
              <w:bidi w:val="0"/>
              <w:adjustRightInd/>
              <w:spacing w:beforeAutospacing="0" w:afterAutospacing="0" w:line="500" w:lineRule="exact"/>
              <w:textAlignment w:val="auto"/>
              <w:rPr>
                <w:rFonts w:hint="eastAsia" w:ascii="宋体" w:hAnsi="宋体" w:eastAsia="宋体" w:cs="宋体"/>
                <w:color w:val="auto"/>
                <w:sz w:val="24"/>
                <w:szCs w:val="24"/>
                <w:highlight w:val="none"/>
                <w:u w:val="none"/>
                <w:lang w:val="en-US" w:eastAsia="zh-CN"/>
              </w:rPr>
            </w:pPr>
            <w:r>
              <w:rPr>
                <w:rFonts w:hint="eastAsia" w:hAnsi="宋体" w:eastAsia="宋体" w:cs="宋体"/>
                <w:color w:val="auto"/>
                <w:sz w:val="24"/>
                <w:szCs w:val="24"/>
                <w:highlight w:val="none"/>
                <w:u w:val="none"/>
                <w:lang w:val="en-US" w:eastAsia="zh-CN"/>
              </w:rPr>
              <w:t>10.13.3</w:t>
            </w:r>
          </w:p>
        </w:tc>
        <w:tc>
          <w:tcPr>
            <w:tcW w:w="8784" w:type="dxa"/>
            <w:gridSpan w:val="3"/>
            <w:noWrap w:val="0"/>
            <w:vAlign w:val="center"/>
          </w:tcPr>
          <w:p>
            <w:pPr>
              <w:pStyle w:val="16"/>
              <w:keepNext w:val="0"/>
              <w:keepLines w:val="0"/>
              <w:pageBreakBefore w:val="0"/>
              <w:kinsoku/>
              <w:overflowPunct/>
              <w:topLinePunct w:val="0"/>
              <w:bidi w:val="0"/>
              <w:adjustRightInd/>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未尽事宜，按《中华人民共和国招标投标法》等相关法律法规执行。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6" w:type="dxa"/>
            <w:gridSpan w:val="2"/>
            <w:noWrap w:val="0"/>
            <w:vAlign w:val="center"/>
          </w:tcPr>
          <w:p>
            <w:pPr>
              <w:pStyle w:val="16"/>
              <w:keepNext w:val="0"/>
              <w:keepLines w:val="0"/>
              <w:pageBreakBefore w:val="0"/>
              <w:kinsoku/>
              <w:overflowPunct/>
              <w:topLinePunct w:val="0"/>
              <w:bidi w:val="0"/>
              <w:adjustRightInd/>
              <w:spacing w:beforeAutospacing="0" w:afterAutospacing="0" w:line="500" w:lineRule="exact"/>
              <w:textAlignment w:val="auto"/>
              <w:rPr>
                <w:rFonts w:hint="default" w:hAnsi="宋体" w:eastAsia="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10.13.4</w:t>
            </w:r>
          </w:p>
        </w:tc>
        <w:tc>
          <w:tcPr>
            <w:tcW w:w="8784" w:type="dxa"/>
            <w:gridSpan w:val="3"/>
            <w:noWrap w:val="0"/>
            <w:vAlign w:val="center"/>
          </w:tcPr>
          <w:p>
            <w:pPr>
              <w:pStyle w:val="16"/>
              <w:keepNext w:val="0"/>
              <w:keepLines w:val="0"/>
              <w:pageBreakBefore w:val="0"/>
              <w:kinsoku/>
              <w:overflowPunct/>
              <w:topLinePunct w:val="0"/>
              <w:bidi w:val="0"/>
              <w:adjustRightInd/>
              <w:spacing w:beforeAutospacing="0" w:afterAutospacing="0" w:line="500" w:lineRule="exact"/>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落实政府采购政策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86" w:type="dxa"/>
            <w:gridSpan w:val="2"/>
            <w:noWrap w:val="0"/>
            <w:vAlign w:val="center"/>
          </w:tcPr>
          <w:p>
            <w:pPr>
              <w:pStyle w:val="16"/>
              <w:keepNext w:val="0"/>
              <w:keepLines w:val="0"/>
              <w:pageBreakBefore w:val="0"/>
              <w:kinsoku/>
              <w:overflowPunct/>
              <w:topLinePunct w:val="0"/>
              <w:bidi w:val="0"/>
              <w:adjustRightInd/>
              <w:spacing w:beforeAutospacing="0" w:afterAutospacing="0" w:line="500" w:lineRule="exact"/>
              <w:textAlignment w:val="auto"/>
              <w:rPr>
                <w:rFonts w:hint="eastAsia" w:hAnsi="宋体" w:eastAsia="宋体" w:cs="宋体"/>
                <w:color w:val="auto"/>
                <w:sz w:val="24"/>
                <w:szCs w:val="24"/>
                <w:highlight w:val="none"/>
                <w:u w:val="none"/>
                <w:lang w:val="en-US" w:eastAsia="zh-CN"/>
              </w:rPr>
            </w:pPr>
          </w:p>
        </w:tc>
        <w:tc>
          <w:tcPr>
            <w:tcW w:w="8784" w:type="dxa"/>
            <w:gridSpan w:val="3"/>
            <w:noWrap w:val="0"/>
            <w:vAlign w:val="center"/>
          </w:tcPr>
          <w:p>
            <w:pPr>
              <w:spacing w:line="500" w:lineRule="exact"/>
              <w:rPr>
                <w:rFonts w:ascii="宋体" w:hAnsi="宋体" w:eastAsia="宋体" w:cs="宋体"/>
                <w:b/>
                <w:bCs/>
                <w:sz w:val="24"/>
                <w:szCs w:val="24"/>
                <w:lang w:val="zh-CN"/>
              </w:rPr>
            </w:pPr>
            <w:r>
              <w:rPr>
                <w:rFonts w:hint="eastAsia" w:ascii="宋体" w:hAnsi="宋体" w:eastAsia="宋体" w:cs="宋体"/>
                <w:b/>
                <w:bCs/>
                <w:sz w:val="24"/>
                <w:szCs w:val="24"/>
                <w:lang w:val="zh-CN"/>
              </w:rPr>
              <w:t>小型微型企业认定及评标价格评审（非专门面向中小企业适用）</w:t>
            </w:r>
          </w:p>
          <w:tbl>
            <w:tblPr>
              <w:tblStyle w:val="2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576"/>
              <w:gridCol w:w="1506"/>
              <w:gridCol w:w="2295"/>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6"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576" w:type="dxa"/>
                  <w:vAlign w:val="center"/>
                </w:tcPr>
                <w:p>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06" w:type="dxa"/>
                  <w:vAlign w:val="center"/>
                </w:tcPr>
                <w:p>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295" w:type="dxa"/>
                  <w:vAlign w:val="center"/>
                </w:tcPr>
                <w:p>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14"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06"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576"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06"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295" w:type="dxa"/>
                  <w:vAlign w:val="center"/>
                </w:tcPr>
                <w:p>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w:t>
                  </w:r>
                  <w:r>
                    <w:rPr>
                      <w:rFonts w:hint="eastAsia" w:ascii="宋体" w:hAnsi="宋体" w:cs="宋体"/>
                      <w:sz w:val="24"/>
                      <w:szCs w:val="24"/>
                      <w:lang w:val="zh-CN"/>
                    </w:rPr>
                    <w:t>6%</w:t>
                  </w:r>
                  <w:r>
                    <w:rPr>
                      <w:rFonts w:hint="eastAsia" w:ascii="宋体" w:hAnsi="宋体" w:eastAsia="宋体" w:cs="宋体"/>
                      <w:sz w:val="24"/>
                      <w:szCs w:val="24"/>
                      <w:lang w:val="zh-CN"/>
                    </w:rPr>
                    <w:t>）</w:t>
                  </w:r>
                </w:p>
              </w:tc>
              <w:tc>
                <w:tcPr>
                  <w:tcW w:w="2114" w:type="dxa"/>
                  <w:vAlign w:val="center"/>
                </w:tcPr>
                <w:p>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w:t>
                  </w:r>
                  <w:r>
                    <w:rPr>
                      <w:rFonts w:hint="eastAsia" w:ascii="宋体" w:hAnsi="宋体" w:cs="宋体"/>
                      <w:sz w:val="24"/>
                      <w:szCs w:val="24"/>
                      <w:lang w:val="zh-CN"/>
                    </w:rPr>
                    <w:t>6%</w:t>
                  </w:r>
                  <w:r>
                    <w:rPr>
                      <w:rFonts w:hint="eastAsia" w:ascii="宋体" w:hAnsi="宋体" w:eastAsia="宋体" w:cs="宋体"/>
                      <w:sz w:val="24"/>
                      <w:szCs w:val="24"/>
                      <w:lang w:val="zh-CN"/>
                    </w:rPr>
                    <w:t>）</w:t>
                  </w:r>
                </w:p>
              </w:tc>
            </w:tr>
          </w:tbl>
          <w:p>
            <w:pPr>
              <w:spacing w:line="500" w:lineRule="exact"/>
              <w:rPr>
                <w:rFonts w:hint="eastAsia" w:ascii="宋体" w:hAnsi="宋体" w:eastAsia="宋体" w:cs="宋体"/>
                <w:sz w:val="24"/>
                <w:szCs w:val="24"/>
                <w:lang w:val="zh-CN"/>
              </w:rPr>
            </w:pPr>
            <w:r>
              <w:rPr>
                <w:rFonts w:hint="eastAsia" w:ascii="宋体" w:hAnsi="宋体" w:cs="宋体"/>
                <w:sz w:val="24"/>
                <w:szCs w:val="24"/>
                <w:lang w:val="en-US" w:eastAsia="zh-CN"/>
              </w:rPr>
              <w:t>1.</w:t>
            </w:r>
            <w:r>
              <w:rPr>
                <w:rFonts w:hint="eastAsia" w:ascii="宋体" w:hAnsi="宋体" w:eastAsia="宋体" w:cs="宋体"/>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w:t>
            </w:r>
            <w:r>
              <w:rPr>
                <w:rFonts w:hint="eastAsia" w:ascii="宋体" w:hAnsi="宋体" w:cs="宋体"/>
                <w:sz w:val="24"/>
                <w:szCs w:val="24"/>
                <w:lang w:val="zh-CN"/>
              </w:rPr>
              <w:t>6%</w:t>
            </w:r>
            <w:r>
              <w:rPr>
                <w:rFonts w:hint="eastAsia" w:ascii="宋体" w:hAnsi="宋体" w:eastAsia="宋体" w:cs="宋体"/>
                <w:sz w:val="24"/>
                <w:szCs w:val="24"/>
                <w:lang w:val="zh-CN"/>
              </w:rPr>
              <w:t>的扣除，用扣除后的价格参与评审；</w:t>
            </w:r>
          </w:p>
          <w:p>
            <w:pPr>
              <w:spacing w:line="500" w:lineRule="exact"/>
              <w:rPr>
                <w:rFonts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cs="宋体"/>
                <w:sz w:val="24"/>
                <w:szCs w:val="24"/>
                <w:lang w:eastAsia="zh-CN"/>
              </w:rPr>
              <w:t>6%</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pPr>
              <w:spacing w:line="500" w:lineRule="exact"/>
              <w:rPr>
                <w:rFonts w:hint="eastAsia" w:ascii="宋体" w:hAnsi="宋体" w:eastAsia="宋体" w:cs="宋体"/>
                <w:color w:val="auto"/>
                <w:sz w:val="24"/>
                <w:szCs w:val="24"/>
                <w:highlight w:val="none"/>
                <w:lang w:eastAsia="zh-CN"/>
              </w:rPr>
            </w:pPr>
            <w:r>
              <w:rPr>
                <w:rFonts w:hint="eastAsia" w:ascii="宋体" w:hAnsi="宋体" w:cs="宋体"/>
                <w:sz w:val="24"/>
                <w:szCs w:val="24"/>
                <w:lang w:val="en-US" w:eastAsia="zh-CN"/>
              </w:rPr>
              <w:t>3.</w:t>
            </w:r>
            <w:r>
              <w:rPr>
                <w:rFonts w:hint="eastAsia" w:ascii="宋体" w:hAnsi="宋体" w:eastAsia="宋体" w:cs="宋体"/>
                <w:sz w:val="24"/>
                <w:szCs w:val="24"/>
              </w:rPr>
              <w:t>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tc>
      </w:tr>
    </w:tbl>
    <w:p>
      <w:pPr>
        <w:pStyle w:val="32"/>
        <w:rPr>
          <w:rFonts w:hint="eastAsia" w:ascii="宋体" w:hAnsi="宋体" w:eastAsia="宋体" w:cs="宋体"/>
          <w:color w:val="auto"/>
          <w:highlight w:val="none"/>
        </w:rPr>
        <w:sectPr>
          <w:headerReference r:id="rId4" w:type="default"/>
          <w:footerReference r:id="rId5" w:type="default"/>
          <w:pgSz w:w="11907" w:h="16840"/>
          <w:pgMar w:top="1417" w:right="1417" w:bottom="1418" w:left="1417" w:header="851" w:footer="851" w:gutter="0"/>
          <w:pgNumType w:fmt="decimal"/>
          <w:cols w:space="720" w:num="1"/>
          <w:docGrid w:linePitch="312" w:charSpace="0"/>
        </w:sectPr>
      </w:pPr>
    </w:p>
    <w:bookmarkEnd w:id="14"/>
    <w:bookmarkEnd w:id="15"/>
    <w:bookmarkEnd w:id="16"/>
    <w:p>
      <w:pPr>
        <w:pStyle w:val="5"/>
        <w:outlineLvl w:val="1"/>
        <w:rPr>
          <w:rFonts w:hint="eastAsia" w:ascii="宋体" w:hAnsi="宋体" w:eastAsia="宋体" w:cs="宋体"/>
          <w:color w:val="auto"/>
          <w:highlight w:val="none"/>
        </w:rPr>
      </w:pPr>
      <w:bookmarkStart w:id="273" w:name="_Toc19477"/>
      <w:bookmarkEnd w:id="273"/>
      <w:bookmarkStart w:id="274" w:name="_Toc26005"/>
      <w:r>
        <w:rPr>
          <w:rFonts w:hint="eastAsia" w:ascii="宋体" w:hAnsi="宋体" w:eastAsia="宋体" w:cs="宋体"/>
          <w:color w:val="auto"/>
          <w:highlight w:val="none"/>
        </w:rPr>
        <w:t>1. 总则</w:t>
      </w:r>
      <w:bookmarkEnd w:id="274"/>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1.1 项目概况</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1.1.1根据《中华人民共和国招标投标法》等有关法律、法规和规章的规定，本招标项目已具备招标条件，现对本标段施工进行招标。</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1.1.2 本招标项目</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1.1.3 本标段</w:t>
      </w:r>
      <w:r>
        <w:rPr>
          <w:rFonts w:hint="eastAsia" w:ascii="宋体" w:hAnsi="宋体" w:cs="宋体"/>
          <w:color w:val="auto"/>
          <w:sz w:val="24"/>
          <w:szCs w:val="32"/>
          <w:highlight w:val="none"/>
          <w:lang w:eastAsia="zh-CN"/>
        </w:rPr>
        <w:t>采购代理机构</w:t>
      </w:r>
      <w:r>
        <w:rPr>
          <w:rFonts w:hint="eastAsia" w:ascii="宋体" w:hAnsi="宋体" w:eastAsia="宋体" w:cs="宋体"/>
          <w:color w:val="auto"/>
          <w:sz w:val="24"/>
          <w:szCs w:val="32"/>
          <w:highlight w:val="none"/>
        </w:rPr>
        <w:t>：见投标人须知前附表。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1.1.4 本招标项目名称：见投标人须知前附表。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1.1.5 本标段建设地点：见投标人须知前附表。</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1.2 资金来源</w:t>
      </w:r>
      <w:r>
        <w:rPr>
          <w:rFonts w:hint="eastAsia" w:ascii="宋体" w:hAnsi="宋体" w:eastAsia="宋体" w:cs="宋体"/>
          <w:color w:val="auto"/>
          <w:highlight w:val="none"/>
          <w:lang w:eastAsia="zh-CN"/>
        </w:rPr>
        <w:t>、出资比例</w:t>
      </w:r>
      <w:r>
        <w:rPr>
          <w:rFonts w:hint="eastAsia" w:ascii="宋体" w:hAnsi="宋体" w:eastAsia="宋体" w:cs="宋体"/>
          <w:color w:val="auto"/>
          <w:highlight w:val="none"/>
        </w:rPr>
        <w:t>和落实情况</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1.2.1 本招标项目的资金来源：见投标人须知前附表。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1.2.2 本招标项目的出资比例：见投标人须知前附表。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1.2.3 本招标项目的资金落实情况：见投标人须知前附表。</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1.3 招标范围、计划工期和质量要求</w:t>
      </w:r>
      <w:r>
        <w:rPr>
          <w:rFonts w:hint="eastAsia" w:ascii="宋体" w:hAnsi="宋体" w:eastAsia="宋体" w:cs="宋体"/>
          <w:color w:val="auto"/>
          <w:highlight w:val="none"/>
          <w:lang w:eastAsia="zh-CN"/>
        </w:rPr>
        <w:t>、资格审查方式</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1.3.1 本次招标范围：见投标人须知前附表。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1.3.2 本标段的计划工期：见投标人须知前附表。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1.3.3 本标段的质量要求：见投标人须知前附表。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1.3.</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 xml:space="preserve"> 本标段资格审查方式：见投标人须知前附表。</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1.4 投标人资格要求</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1.4.1投标人应具备承担本标段施工的资质条件、能力和信誉。</w:t>
      </w:r>
    </w:p>
    <w:p>
      <w:pPr>
        <w:keepNext w:val="0"/>
        <w:keepLines w:val="0"/>
        <w:pageBreakBefore w:val="0"/>
        <w:widowControl w:val="0"/>
        <w:kinsoku/>
        <w:overflowPunct/>
        <w:topLinePunct w:val="0"/>
        <w:bidi w:val="0"/>
        <w:adjustRightInd/>
        <w:spacing w:beforeAutospacing="0" w:afterAutospacing="0" w:line="500" w:lineRule="exact"/>
        <w:ind w:firstLine="1200" w:firstLineChars="5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1.4.2 本次招标不接受联合体投标。</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1.4.3 投标人不得存在下列情形之一：</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（1）为</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 xml:space="preserve">不具有独立法人资格的附属机构（单位）；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（2）为本标段前期准备提供设计或咨询服务的，但设计施工总承包的除外；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（3）为本标段的监理人；</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（4）为本标段的代建人；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（5）为本标段提供招标代理服务的；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（6）与本标段的监理人或代建人或</w:t>
      </w:r>
      <w:r>
        <w:rPr>
          <w:rFonts w:hint="eastAsia" w:ascii="宋体" w:hAnsi="宋体" w:cs="宋体"/>
          <w:color w:val="auto"/>
          <w:sz w:val="24"/>
          <w:szCs w:val="32"/>
          <w:highlight w:val="none"/>
          <w:lang w:eastAsia="zh-CN"/>
        </w:rPr>
        <w:t>采购代理机构</w:t>
      </w:r>
      <w:r>
        <w:rPr>
          <w:rFonts w:hint="eastAsia" w:ascii="宋体" w:hAnsi="宋体" w:eastAsia="宋体" w:cs="宋体"/>
          <w:color w:val="auto"/>
          <w:sz w:val="24"/>
          <w:szCs w:val="32"/>
          <w:highlight w:val="none"/>
        </w:rPr>
        <w:t>同为一个法定代表人的；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（7）与本标段的监理人或代建人或</w:t>
      </w:r>
      <w:r>
        <w:rPr>
          <w:rFonts w:hint="eastAsia" w:ascii="宋体" w:hAnsi="宋体" w:cs="宋体"/>
          <w:color w:val="auto"/>
          <w:sz w:val="24"/>
          <w:szCs w:val="32"/>
          <w:highlight w:val="none"/>
          <w:lang w:eastAsia="zh-CN"/>
        </w:rPr>
        <w:t>采购代理机构</w:t>
      </w:r>
      <w:r>
        <w:rPr>
          <w:rFonts w:hint="eastAsia" w:ascii="宋体" w:hAnsi="宋体" w:eastAsia="宋体" w:cs="宋体"/>
          <w:color w:val="auto"/>
          <w:sz w:val="24"/>
          <w:szCs w:val="32"/>
          <w:highlight w:val="none"/>
        </w:rPr>
        <w:t>相互控股或参股的；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（8）与本标段的监理人或代建人或</w:t>
      </w:r>
      <w:r>
        <w:rPr>
          <w:rFonts w:hint="eastAsia" w:ascii="宋体" w:hAnsi="宋体" w:cs="宋体"/>
          <w:color w:val="auto"/>
          <w:sz w:val="24"/>
          <w:szCs w:val="32"/>
          <w:highlight w:val="none"/>
          <w:lang w:eastAsia="zh-CN"/>
        </w:rPr>
        <w:t>采购代理机构</w:t>
      </w:r>
      <w:r>
        <w:rPr>
          <w:rFonts w:hint="eastAsia" w:ascii="宋体" w:hAnsi="宋体" w:eastAsia="宋体" w:cs="宋体"/>
          <w:color w:val="auto"/>
          <w:sz w:val="24"/>
          <w:szCs w:val="32"/>
          <w:highlight w:val="none"/>
        </w:rPr>
        <w:t>相互任职或工作的；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（9）被责令停业的；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（10）被暂停或取消投标资格的；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（11）财产被接管或冻结的；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（12）在最近三年内有骗取中标或严重违约或重大工程质量问题的。</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1.5 费用承担</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投标人准备和参加投标活动发生的费用自理。</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1.6 保密</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参与招标投标活动的各方应对招标文件和投标文件中的商业和技术等秘密保密，违者应对由此造成的后果承担法律责任。 </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1.7 语言文字</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除专用术语外，与招标投标有关的语言均使用中文。必要时专用术语应附有中文注释。</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1.8 计量单位</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所有计量均采用中华人民共和国法定计量单位。</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1.9 踏勘现场</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1.9.1 投标人须知前附表规定组织踏勘现场的，</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 xml:space="preserve">按投标人须知前附表规定的时间、地点组织投标人踏勘项目现场。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1.9.2 投标人踏勘现场发生的费用自理。</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1.9.3 除</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的原因外，投标人自行负责在踏勘现场中所发生的人员伤亡和财产损失。</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1.9.4 </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在踏勘现场中介绍的工程场地和相关的周边环境情况，供投标人在编制投标文件时参考，</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不对投标人据此作出的判断和决策负责。</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 xml:space="preserve"> 分包</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投标人拟在中标后将中标项目的部分非主体、非关键性工作进行分包的，应符合投标人须知前附表规定的分包内容、分包金额和接受分包的第三人资质要求等限制性条件。</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偏离</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投标人须知前附表允许投标文件偏离招标文件某些要求的，偏离应当符合招标文件规定的偏离范围和幅度。</w:t>
      </w:r>
    </w:p>
    <w:p>
      <w:pPr>
        <w:pStyle w:val="5"/>
        <w:outlineLvl w:val="1"/>
        <w:rPr>
          <w:rFonts w:hint="eastAsia" w:ascii="宋体" w:hAnsi="宋体" w:eastAsia="宋体" w:cs="宋体"/>
          <w:color w:val="auto"/>
          <w:highlight w:val="none"/>
        </w:rPr>
        <w:sectPr>
          <w:pgSz w:w="11907" w:h="16840"/>
          <w:pgMar w:top="1417" w:right="1417" w:bottom="1418" w:left="1417" w:header="851" w:footer="851" w:gutter="0"/>
          <w:pgNumType w:fmt="decimal"/>
          <w:cols w:space="720" w:num="1"/>
          <w:docGrid w:linePitch="312" w:charSpace="0"/>
        </w:sectPr>
      </w:pPr>
      <w:bookmarkStart w:id="275" w:name="_Toc5875"/>
      <w:bookmarkStart w:id="276" w:name="_Toc13730"/>
      <w:bookmarkStart w:id="277" w:name="_Toc516822638"/>
    </w:p>
    <w:bookmarkEnd w:id="275"/>
    <w:bookmarkEnd w:id="276"/>
    <w:bookmarkEnd w:id="277"/>
    <w:p>
      <w:pPr>
        <w:pStyle w:val="5"/>
        <w:outlineLvl w:val="1"/>
        <w:rPr>
          <w:rFonts w:hint="eastAsia" w:ascii="宋体" w:hAnsi="宋体" w:eastAsia="宋体" w:cs="宋体"/>
          <w:color w:val="auto"/>
          <w:highlight w:val="none"/>
        </w:rPr>
      </w:pPr>
      <w:bookmarkStart w:id="278" w:name="_Toc10730"/>
      <w:bookmarkEnd w:id="278"/>
      <w:bookmarkStart w:id="279" w:name="_Toc11151"/>
      <w:r>
        <w:rPr>
          <w:rFonts w:hint="eastAsia" w:ascii="宋体" w:hAnsi="宋体" w:eastAsia="宋体" w:cs="宋体"/>
          <w:color w:val="auto"/>
          <w:highlight w:val="none"/>
        </w:rPr>
        <w:t>2. 招标文件</w:t>
      </w:r>
      <w:bookmarkEnd w:id="279"/>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2.1 招标文件的组成</w:t>
      </w:r>
    </w:p>
    <w:p>
      <w:pPr>
        <w:keepNext w:val="0"/>
        <w:keepLines w:val="0"/>
        <w:pageBreakBefore w:val="0"/>
        <w:widowControl w:val="0"/>
        <w:kinsoku/>
        <w:overflowPunct/>
        <w:topLinePunct w:val="0"/>
        <w:bidi w:val="0"/>
        <w:adjustRightInd/>
        <w:spacing w:beforeAutospacing="0" w:afterAutospacing="0" w:line="500" w:lineRule="exact"/>
        <w:ind w:firstLine="42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highlight w:val="none"/>
        </w:rPr>
        <w:t>　　</w:t>
      </w:r>
      <w:r>
        <w:rPr>
          <w:rFonts w:hint="eastAsia" w:ascii="宋体" w:hAnsi="宋体" w:eastAsia="宋体" w:cs="宋体"/>
          <w:color w:val="auto"/>
          <w:sz w:val="24"/>
          <w:szCs w:val="32"/>
          <w:highlight w:val="none"/>
        </w:rPr>
        <w:t>本招标文件包括：</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（1）招标公告；</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（2）投标人须知；</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（3）评标办法；</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（4）合同条款及格式；</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（5）工程量清单；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（6）图纸；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（7）技术标准和要求；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（8）投标文件格式；</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根据本章第1.10款、第2.2款和第2.3款对招标文件所作的澄清、修改，构成招标文件的组成部分。</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2.2 招标文件的澄清</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2.2.1投标人应仔细阅读和检查招标文件的全部内容。如发现缺页或附件不全，应及时向</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提出，以便补齐。如有疑问，应在投标人须知前附表规定的时间前以书面形式（包括信函、电报、传真等可以有形表现所载内容的形式，下同），要求</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对招标文件予以澄清。</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2.2.2 招标文件的澄清将在投标人须知前附表规定的投标截止时间15天前在</w:t>
      </w:r>
      <w:r>
        <w:rPr>
          <w:rFonts w:hint="eastAsia" w:ascii="宋体" w:hAnsi="宋体" w:eastAsia="宋体" w:cs="宋体"/>
          <w:color w:val="auto"/>
          <w:sz w:val="24"/>
          <w:szCs w:val="32"/>
          <w:highlight w:val="none"/>
          <w:lang w:eastAsia="zh-CN"/>
        </w:rPr>
        <w:t>息县</w:t>
      </w:r>
      <w:r>
        <w:rPr>
          <w:rFonts w:hint="eastAsia" w:ascii="宋体" w:hAnsi="宋体" w:eastAsia="宋体" w:cs="宋体"/>
          <w:color w:val="auto"/>
          <w:sz w:val="24"/>
          <w:szCs w:val="32"/>
          <w:highlight w:val="none"/>
        </w:rPr>
        <w:t>公共资源交易系统</w:t>
      </w:r>
      <w:r>
        <w:rPr>
          <w:rFonts w:hint="eastAsia" w:ascii="宋体" w:hAnsi="宋体" w:eastAsia="宋体" w:cs="宋体"/>
          <w:b/>
          <w:bCs/>
          <w:color w:val="auto"/>
          <w:sz w:val="24"/>
          <w:szCs w:val="32"/>
          <w:highlight w:val="none"/>
          <w:lang w:eastAsia="zh-CN"/>
        </w:rPr>
        <w:t>“变更公告”或“答疑文件”</w:t>
      </w:r>
      <w:r>
        <w:rPr>
          <w:rFonts w:hint="eastAsia" w:ascii="宋体" w:hAnsi="宋体" w:eastAsia="宋体" w:cs="宋体"/>
          <w:color w:val="auto"/>
          <w:sz w:val="24"/>
          <w:szCs w:val="32"/>
          <w:highlight w:val="none"/>
        </w:rPr>
        <w:t>将澄清内容</w:t>
      </w:r>
      <w:r>
        <w:rPr>
          <w:rFonts w:hint="eastAsia" w:ascii="宋体" w:hAnsi="宋体" w:eastAsia="宋体" w:cs="宋体"/>
          <w:color w:val="auto"/>
          <w:sz w:val="24"/>
          <w:szCs w:val="32"/>
          <w:highlight w:val="none"/>
          <w:lang w:eastAsia="zh-CN"/>
        </w:rPr>
        <w:t>予以发布</w:t>
      </w:r>
      <w:r>
        <w:rPr>
          <w:rFonts w:hint="eastAsia" w:ascii="宋体" w:hAnsi="宋体" w:eastAsia="宋体" w:cs="宋体"/>
          <w:color w:val="auto"/>
          <w:sz w:val="24"/>
          <w:szCs w:val="32"/>
          <w:highlight w:val="none"/>
        </w:rPr>
        <w:t>，但不指明澄清问题的来源。如果澄清</w:t>
      </w:r>
      <w:r>
        <w:rPr>
          <w:rFonts w:hint="eastAsia" w:ascii="宋体" w:hAnsi="宋体" w:eastAsia="宋体" w:cs="宋体"/>
          <w:color w:val="auto"/>
          <w:sz w:val="24"/>
          <w:szCs w:val="32"/>
          <w:highlight w:val="none"/>
          <w:lang w:eastAsia="zh-CN"/>
        </w:rPr>
        <w:t>的内容可能影响投标文件编制且</w:t>
      </w:r>
      <w:r>
        <w:rPr>
          <w:rFonts w:hint="eastAsia" w:ascii="宋体" w:hAnsi="宋体" w:eastAsia="宋体" w:cs="宋体"/>
          <w:color w:val="auto"/>
          <w:sz w:val="24"/>
          <w:szCs w:val="32"/>
          <w:highlight w:val="none"/>
        </w:rPr>
        <w:t>发出的时间距投标截止时间不足15天，相应延长投标截止时间。</w:t>
      </w:r>
    </w:p>
    <w:p>
      <w:pPr>
        <w:keepNext w:val="0"/>
        <w:keepLines w:val="0"/>
        <w:pageBreakBefore w:val="0"/>
        <w:widowControl w:val="0"/>
        <w:kinsoku/>
        <w:overflowPunct/>
        <w:topLinePunct w:val="0"/>
        <w:bidi w:val="0"/>
        <w:adjustRightInd/>
        <w:spacing w:beforeAutospacing="0" w:afterAutospacing="0" w:line="500" w:lineRule="exact"/>
        <w:ind w:firstLine="482" w:firstLineChars="200"/>
        <w:textAlignment w:val="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en-US" w:eastAsia="zh-CN"/>
        </w:rPr>
        <w:t>2.2.3</w:t>
      </w:r>
      <w:r>
        <w:rPr>
          <w:rFonts w:hint="eastAsia" w:ascii="宋体" w:hAnsi="宋体" w:eastAsia="宋体" w:cs="宋体"/>
          <w:b/>
          <w:bCs/>
          <w:color w:val="auto"/>
          <w:sz w:val="24"/>
          <w:szCs w:val="32"/>
          <w:highlight w:val="none"/>
          <w:lang w:eastAsia="zh-CN"/>
        </w:rPr>
        <w:t>投标人应在投标文件递交截止时间前及时查看澄清内容，因投标人未及时查看而造成的后果自负。</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2.3 招标文件的修改</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2.3.1 在投标截止时间15天前，</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可以修改招标文件。如有修改，应在</w:t>
      </w:r>
      <w:r>
        <w:rPr>
          <w:rFonts w:hint="eastAsia" w:ascii="宋体" w:hAnsi="宋体" w:eastAsia="宋体" w:cs="宋体"/>
          <w:color w:val="auto"/>
          <w:sz w:val="24"/>
          <w:szCs w:val="32"/>
          <w:highlight w:val="none"/>
          <w:lang w:eastAsia="zh-CN"/>
        </w:rPr>
        <w:t>息县</w:t>
      </w:r>
      <w:r>
        <w:rPr>
          <w:rFonts w:hint="eastAsia" w:ascii="宋体" w:hAnsi="宋体" w:eastAsia="宋体" w:cs="宋体"/>
          <w:color w:val="auto"/>
          <w:sz w:val="24"/>
          <w:szCs w:val="32"/>
          <w:highlight w:val="none"/>
        </w:rPr>
        <w:t>公共资源交易系统</w:t>
      </w:r>
      <w:r>
        <w:rPr>
          <w:rFonts w:hint="eastAsia" w:ascii="宋体" w:hAnsi="宋体" w:eastAsia="宋体" w:cs="宋体"/>
          <w:b/>
          <w:bCs/>
          <w:color w:val="auto"/>
          <w:sz w:val="24"/>
          <w:szCs w:val="32"/>
          <w:highlight w:val="none"/>
          <w:lang w:eastAsia="zh-CN"/>
        </w:rPr>
        <w:t>“变更公告”或“答疑文件”</w:t>
      </w:r>
      <w:r>
        <w:rPr>
          <w:rFonts w:hint="eastAsia" w:ascii="宋体" w:hAnsi="宋体" w:eastAsia="宋体" w:cs="宋体"/>
          <w:color w:val="auto"/>
          <w:sz w:val="24"/>
          <w:szCs w:val="32"/>
          <w:highlight w:val="none"/>
        </w:rPr>
        <w:t>将</w:t>
      </w:r>
      <w:r>
        <w:rPr>
          <w:rFonts w:hint="eastAsia" w:ascii="宋体" w:hAnsi="宋体" w:eastAsia="宋体" w:cs="宋体"/>
          <w:color w:val="auto"/>
          <w:sz w:val="24"/>
          <w:szCs w:val="32"/>
          <w:highlight w:val="none"/>
          <w:lang w:eastAsia="zh-CN"/>
        </w:rPr>
        <w:t>修改</w:t>
      </w:r>
      <w:r>
        <w:rPr>
          <w:rFonts w:hint="eastAsia" w:ascii="宋体" w:hAnsi="宋体" w:eastAsia="宋体" w:cs="宋体"/>
          <w:color w:val="auto"/>
          <w:sz w:val="24"/>
          <w:szCs w:val="32"/>
          <w:highlight w:val="none"/>
        </w:rPr>
        <w:t>内容</w:t>
      </w:r>
      <w:r>
        <w:rPr>
          <w:rFonts w:hint="eastAsia" w:ascii="宋体" w:hAnsi="宋体" w:eastAsia="宋体" w:cs="宋体"/>
          <w:color w:val="auto"/>
          <w:sz w:val="24"/>
          <w:szCs w:val="32"/>
          <w:highlight w:val="none"/>
          <w:lang w:eastAsia="zh-CN"/>
        </w:rPr>
        <w:t>予以发布</w:t>
      </w:r>
      <w:r>
        <w:rPr>
          <w:rFonts w:hint="eastAsia" w:ascii="宋体" w:hAnsi="宋体" w:eastAsia="宋体" w:cs="宋体"/>
          <w:color w:val="auto"/>
          <w:sz w:val="24"/>
          <w:szCs w:val="32"/>
          <w:highlight w:val="none"/>
        </w:rPr>
        <w:t>。如果修改</w:t>
      </w:r>
      <w:r>
        <w:rPr>
          <w:rFonts w:hint="eastAsia" w:ascii="宋体" w:hAnsi="宋体" w:eastAsia="宋体" w:cs="宋体"/>
          <w:color w:val="auto"/>
          <w:sz w:val="24"/>
          <w:szCs w:val="32"/>
          <w:highlight w:val="none"/>
          <w:lang w:eastAsia="zh-CN"/>
        </w:rPr>
        <w:t>的内容可能影响投标文件编制且</w:t>
      </w:r>
      <w:r>
        <w:rPr>
          <w:rFonts w:hint="eastAsia" w:ascii="宋体" w:hAnsi="宋体" w:eastAsia="宋体" w:cs="宋体"/>
          <w:color w:val="auto"/>
          <w:sz w:val="24"/>
          <w:szCs w:val="32"/>
          <w:highlight w:val="none"/>
        </w:rPr>
        <w:t>发出的时间距投标截止时间不足15天，相应延长投标截止时间。</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2.3.2</w:t>
      </w:r>
      <w:r>
        <w:rPr>
          <w:rFonts w:hint="eastAsia" w:ascii="宋体" w:hAnsi="宋体" w:eastAsia="宋体" w:cs="宋体"/>
          <w:color w:val="auto"/>
          <w:sz w:val="24"/>
          <w:szCs w:val="32"/>
          <w:highlight w:val="none"/>
        </w:rPr>
        <w:t>当招标文件的澄清、修改、补充等在同一内容的表述上不一致时，以最后</w:t>
      </w:r>
      <w:r>
        <w:rPr>
          <w:rFonts w:hint="eastAsia" w:ascii="宋体" w:hAnsi="宋体" w:eastAsia="宋体" w:cs="宋体"/>
          <w:color w:val="auto"/>
          <w:sz w:val="24"/>
          <w:szCs w:val="32"/>
          <w:highlight w:val="none"/>
          <w:lang w:eastAsia="zh-CN"/>
        </w:rPr>
        <w:t>在息县公共资源交易系统发出的文件</w:t>
      </w:r>
      <w:r>
        <w:rPr>
          <w:rFonts w:hint="eastAsia" w:ascii="宋体" w:hAnsi="宋体" w:eastAsia="宋体" w:cs="宋体"/>
          <w:color w:val="auto"/>
          <w:sz w:val="24"/>
          <w:szCs w:val="32"/>
          <w:highlight w:val="none"/>
        </w:rPr>
        <w:t>为准。</w:t>
      </w:r>
    </w:p>
    <w:p>
      <w:pPr>
        <w:keepNext w:val="0"/>
        <w:keepLines w:val="0"/>
        <w:pageBreakBefore w:val="0"/>
        <w:widowControl w:val="0"/>
        <w:kinsoku/>
        <w:overflowPunct/>
        <w:topLinePunct w:val="0"/>
        <w:bidi w:val="0"/>
        <w:adjustRightInd/>
        <w:spacing w:beforeAutospacing="0" w:afterAutospacing="0" w:line="500" w:lineRule="exact"/>
        <w:ind w:firstLine="482" w:firstLineChars="200"/>
        <w:textAlignment w:val="auto"/>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val="en-US" w:eastAsia="zh-CN"/>
        </w:rPr>
        <w:t>2.3.3</w:t>
      </w:r>
      <w:r>
        <w:rPr>
          <w:rFonts w:hint="eastAsia" w:ascii="宋体" w:hAnsi="宋体" w:eastAsia="宋体" w:cs="宋体"/>
          <w:b/>
          <w:bCs/>
          <w:color w:val="auto"/>
          <w:sz w:val="24"/>
          <w:szCs w:val="32"/>
          <w:highlight w:val="none"/>
          <w:lang w:eastAsia="zh-CN"/>
        </w:rPr>
        <w:t>投标人应在投标文件递交截止时间前及时查看修改内容，因投标人未及时查看而造成的后果自负。</w:t>
      </w:r>
    </w:p>
    <w:p>
      <w:pPr>
        <w:pStyle w:val="2"/>
        <w:rPr>
          <w:rFonts w:hint="eastAsia" w:ascii="宋体" w:hAnsi="宋体" w:eastAsia="宋体" w:cs="宋体"/>
          <w:color w:val="auto"/>
          <w:highlight w:val="none"/>
          <w:lang w:val="en-US" w:eastAsia="zh-CN"/>
        </w:rPr>
      </w:pPr>
    </w:p>
    <w:p>
      <w:pPr>
        <w:pStyle w:val="5"/>
        <w:jc w:val="center"/>
        <w:outlineLvl w:val="1"/>
        <w:rPr>
          <w:rFonts w:hint="eastAsia" w:ascii="宋体" w:hAnsi="宋体" w:eastAsia="宋体" w:cs="宋体"/>
          <w:color w:val="auto"/>
          <w:highlight w:val="none"/>
        </w:rPr>
        <w:sectPr>
          <w:pgSz w:w="11907" w:h="16840"/>
          <w:pgMar w:top="1417" w:right="1417" w:bottom="1418" w:left="1417" w:header="851" w:footer="851" w:gutter="0"/>
          <w:pgNumType w:fmt="decimal"/>
          <w:cols w:space="720" w:num="1"/>
          <w:docGrid w:linePitch="312" w:charSpace="0"/>
        </w:sectPr>
      </w:pPr>
      <w:bookmarkStart w:id="280" w:name="_Toc516822639"/>
      <w:bookmarkStart w:id="281" w:name="_Toc25866"/>
      <w:bookmarkStart w:id="282" w:name="_Toc20560"/>
    </w:p>
    <w:bookmarkEnd w:id="280"/>
    <w:bookmarkEnd w:id="281"/>
    <w:bookmarkEnd w:id="282"/>
    <w:p>
      <w:pPr>
        <w:pStyle w:val="5"/>
        <w:jc w:val="center"/>
        <w:outlineLvl w:val="1"/>
        <w:rPr>
          <w:rFonts w:hint="eastAsia" w:ascii="宋体" w:hAnsi="宋体" w:eastAsia="宋体" w:cs="宋体"/>
          <w:color w:val="auto"/>
          <w:highlight w:val="none"/>
        </w:rPr>
      </w:pPr>
      <w:bookmarkStart w:id="283" w:name="_Toc3743"/>
      <w:bookmarkEnd w:id="283"/>
      <w:bookmarkStart w:id="284" w:name="_Toc10785"/>
      <w:r>
        <w:rPr>
          <w:rFonts w:hint="eastAsia" w:ascii="宋体" w:hAnsi="宋体" w:eastAsia="宋体" w:cs="宋体"/>
          <w:color w:val="auto"/>
          <w:highlight w:val="none"/>
        </w:rPr>
        <w:t>3.投标文件</w:t>
      </w:r>
      <w:bookmarkEnd w:id="284"/>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3.1 投标文件的组成</w:t>
      </w:r>
    </w:p>
    <w:p>
      <w:pPr>
        <w:keepNext w:val="0"/>
        <w:keepLines w:val="0"/>
        <w:pageBreakBefore w:val="0"/>
        <w:widowControl w:val="0"/>
        <w:kinsoku/>
        <w:overflowPunct/>
        <w:topLinePunct w:val="0"/>
        <w:bidi w:val="0"/>
        <w:adjustRightInd/>
        <w:spacing w:beforeAutospacing="0" w:afterAutospacing="0" w:line="500" w:lineRule="exact"/>
        <w:ind w:firstLine="42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highlight w:val="none"/>
        </w:rPr>
        <w:t>　</w:t>
      </w:r>
      <w:r>
        <w:rPr>
          <w:rFonts w:hint="eastAsia" w:ascii="宋体" w:hAnsi="宋体" w:eastAsia="宋体" w:cs="宋体"/>
          <w:color w:val="auto"/>
          <w:sz w:val="24"/>
          <w:szCs w:val="32"/>
          <w:highlight w:val="none"/>
        </w:rPr>
        <w:t>投标文件应包括下列内容：</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（1）投标函及投标函附录；</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（2）法定代表人身份证明；</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）授权委托书</w:t>
      </w:r>
      <w:r>
        <w:rPr>
          <w:rFonts w:hint="eastAsia" w:ascii="宋体" w:hAnsi="宋体" w:eastAsia="宋体" w:cs="宋体"/>
          <w:color w:val="auto"/>
          <w:sz w:val="24"/>
          <w:szCs w:val="32"/>
          <w:highlight w:val="none"/>
          <w:lang w:eastAsia="zh-CN"/>
        </w:rPr>
        <w:t>；</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rPr>
        <w:t>）已标价工程量清单；</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rPr>
        <w:t xml:space="preserve">）施工组织设计；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rPr>
        <w:t>）项目管理机构；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rPr>
        <w:t>）资格审查资料；</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rPr>
        <w:t>）其他材料。</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3.2 投标报价</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3.2.1 投标人应按第五章“工程量清单”的要求填写相应表格。</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3.2.2 投标人在投标截止时间前修改投标函中的投标总报价，应同时修改第五章“工程量清单”中的相应报价。</w:t>
      </w:r>
      <w:r>
        <w:rPr>
          <w:rFonts w:hint="eastAsia" w:ascii="宋体" w:hAnsi="宋体" w:eastAsia="宋体" w:cs="宋体"/>
          <w:color w:val="auto"/>
          <w:sz w:val="24"/>
          <w:szCs w:val="32"/>
          <w:highlight w:val="none"/>
          <w:lang w:eastAsia="zh-CN"/>
        </w:rPr>
        <w:t>修改后的内容应在投标截止时间前重新上传。</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3.3 投标有效期</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3.3.1 在投标人须知前附表规定的投标有效期内，投标人不得要求撤销或修改其投标文件。</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3.3.2出现特殊情况需要延长投标有效期的，</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 xml:space="preserve">将通知所有投标人延长投标有效期。投标人同意延长的，应相应延长其投标保证金的有效期，但不得要求或被允许修改或撤销其投标文件；投标人拒绝延长的，其投标失效，但投标人有权收回其投标保证金。 </w:t>
      </w:r>
    </w:p>
    <w:p>
      <w:pPr>
        <w:pStyle w:val="7"/>
        <w:pageBreakBefore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3.4 投标保证金</w:t>
      </w:r>
      <w:r>
        <w:rPr>
          <w:rFonts w:hint="eastAsia" w:ascii="宋体" w:hAnsi="宋体" w:eastAsia="宋体" w:cs="宋体"/>
          <w:color w:val="auto"/>
          <w:highlight w:val="none"/>
          <w:lang w:eastAsia="zh-CN"/>
        </w:rPr>
        <w:t>（无）</w:t>
      </w:r>
    </w:p>
    <w:p>
      <w:pPr>
        <w:pStyle w:val="7"/>
        <w:pageBreakBefore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u w:val="double"/>
        </w:rPr>
      </w:pPr>
      <w:r>
        <w:rPr>
          <w:rFonts w:hint="eastAsia" w:ascii="宋体" w:hAnsi="宋体" w:eastAsia="宋体" w:cs="宋体"/>
          <w:color w:val="auto"/>
          <w:highlight w:val="none"/>
        </w:rPr>
        <w:t>3.5 资格审查资料</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应按照投标人须知前附表1.4.1要求对投标企业资质条件、信誉要求、项目经理资格及其他要求提供相关证明材料。</w:t>
      </w:r>
    </w:p>
    <w:p>
      <w:pPr>
        <w:keepNext w:val="0"/>
        <w:keepLines w:val="0"/>
        <w:pageBreakBefore w:val="0"/>
        <w:suppressLineNumbers w:val="0"/>
        <w:kinsoku/>
        <w:overflowPunct/>
        <w:topLinePunct w:val="0"/>
        <w:bidi w:val="0"/>
        <w:adjustRightInd/>
        <w:spacing w:beforeAutospacing="0" w:afterAutospacing="0" w:line="500" w:lineRule="exact"/>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备选投标方案</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可以接受该备选投标方案。</w:t>
      </w:r>
    </w:p>
    <w:p>
      <w:pPr>
        <w:pStyle w:val="7"/>
        <w:pageBreakBefore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投标文件的编制</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rPr>
        <w:t>.1投标文件应按第</w:t>
      </w:r>
      <w:r>
        <w:rPr>
          <w:rFonts w:hint="eastAsia" w:ascii="宋体" w:hAnsi="宋体" w:eastAsia="宋体" w:cs="宋体"/>
          <w:color w:val="auto"/>
          <w:sz w:val="24"/>
          <w:szCs w:val="32"/>
          <w:highlight w:val="none"/>
          <w:lang w:eastAsia="zh-CN"/>
        </w:rPr>
        <w:t>八</w:t>
      </w:r>
      <w:r>
        <w:rPr>
          <w:rFonts w:hint="eastAsia" w:ascii="宋体" w:hAnsi="宋体" w:eastAsia="宋体" w:cs="宋体"/>
          <w:color w:val="auto"/>
          <w:sz w:val="24"/>
          <w:szCs w:val="32"/>
          <w:highlight w:val="none"/>
        </w:rPr>
        <w:t>章“投标文件格式”使用信阳市公共资源交易系统投标文件制作专用工具软件编制</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投标文件格式为“*.XYTF”</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其中，投标函附录在满足招标文件实质性要求的基础上，可以提出比招标文件要求更有利于</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的承诺。</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rPr>
        <w:t>.2 投标文件应当对招标文件有关</w:t>
      </w:r>
      <w:r>
        <w:rPr>
          <w:rFonts w:hint="eastAsia" w:ascii="宋体" w:hAnsi="宋体" w:eastAsia="宋体" w:cs="宋体"/>
          <w:color w:val="auto"/>
          <w:sz w:val="24"/>
          <w:szCs w:val="32"/>
          <w:highlight w:val="none"/>
          <w:lang w:eastAsia="zh-CN"/>
        </w:rPr>
        <w:t>计划工期</w:t>
      </w:r>
      <w:r>
        <w:rPr>
          <w:rFonts w:hint="eastAsia" w:ascii="宋体" w:hAnsi="宋体" w:eastAsia="宋体" w:cs="宋体"/>
          <w:color w:val="auto"/>
          <w:sz w:val="24"/>
          <w:szCs w:val="32"/>
          <w:highlight w:val="none"/>
        </w:rPr>
        <w:t>、投标有效期等实质性内容作出响应。</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rPr>
        <w:t>.3投标文件</w:t>
      </w:r>
      <w:r>
        <w:rPr>
          <w:rFonts w:hint="eastAsia" w:ascii="宋体" w:hAnsi="宋体" w:eastAsia="宋体" w:cs="宋体"/>
          <w:color w:val="auto"/>
          <w:sz w:val="24"/>
          <w:szCs w:val="32"/>
          <w:highlight w:val="none"/>
          <w:lang w:eastAsia="zh-CN"/>
        </w:rPr>
        <w:t>应编制目录，</w:t>
      </w:r>
      <w:r>
        <w:rPr>
          <w:rFonts w:hint="eastAsia" w:ascii="宋体" w:hAnsi="宋体" w:eastAsia="宋体" w:cs="宋体"/>
          <w:color w:val="auto"/>
          <w:sz w:val="24"/>
          <w:szCs w:val="32"/>
          <w:highlight w:val="none"/>
        </w:rPr>
        <w:t>电子投标文件签字或盖章的具体要求见投标人须知前附表。如委托代理人电子签章的，电子投标文件应附法定代表人</w:t>
      </w:r>
      <w:r>
        <w:rPr>
          <w:rFonts w:hint="eastAsia" w:ascii="宋体" w:hAnsi="宋体" w:eastAsia="宋体" w:cs="宋体"/>
          <w:color w:val="auto"/>
          <w:sz w:val="24"/>
          <w:szCs w:val="32"/>
          <w:highlight w:val="none"/>
          <w:lang w:eastAsia="zh-CN"/>
        </w:rPr>
        <w:t>电子签名</w:t>
      </w:r>
      <w:r>
        <w:rPr>
          <w:rFonts w:hint="eastAsia" w:ascii="宋体" w:hAnsi="宋体" w:eastAsia="宋体" w:cs="宋体"/>
          <w:color w:val="auto"/>
          <w:sz w:val="24"/>
          <w:szCs w:val="32"/>
          <w:highlight w:val="none"/>
        </w:rPr>
        <w:t>的授权委托书。</w:t>
      </w:r>
    </w:p>
    <w:p>
      <w:pPr>
        <w:pStyle w:val="2"/>
        <w:rPr>
          <w:rFonts w:hint="eastAsia" w:ascii="宋体" w:hAnsi="宋体" w:eastAsia="宋体" w:cs="宋体"/>
          <w:color w:val="auto"/>
          <w:highlight w:val="none"/>
          <w:lang w:val="en-US" w:eastAsia="zh-CN"/>
        </w:rPr>
      </w:pPr>
    </w:p>
    <w:p>
      <w:pPr>
        <w:pStyle w:val="3"/>
        <w:rPr>
          <w:rFonts w:hint="eastAsia" w:ascii="宋体" w:hAnsi="宋体" w:eastAsia="宋体" w:cs="宋体"/>
          <w:color w:val="auto"/>
          <w:highlight w:val="none"/>
          <w:lang w:val="en-US" w:eastAsia="zh-CN"/>
        </w:rPr>
      </w:pPr>
    </w:p>
    <w:p>
      <w:pPr>
        <w:pStyle w:val="2"/>
        <w:rPr>
          <w:rFonts w:hint="eastAsia" w:ascii="宋体" w:hAnsi="宋体" w:eastAsia="宋体" w:cs="宋体"/>
          <w:color w:val="auto"/>
          <w:highlight w:val="none"/>
          <w:lang w:val="en-US" w:eastAsia="zh-CN"/>
        </w:rPr>
      </w:pPr>
    </w:p>
    <w:p>
      <w:pPr>
        <w:pStyle w:val="3"/>
        <w:rPr>
          <w:rFonts w:hint="eastAsia" w:ascii="宋体" w:hAnsi="宋体" w:eastAsia="宋体" w:cs="宋体"/>
          <w:color w:val="auto"/>
          <w:highlight w:val="none"/>
          <w:lang w:val="en-US" w:eastAsia="zh-CN"/>
        </w:rPr>
      </w:pPr>
    </w:p>
    <w:p>
      <w:pPr>
        <w:pStyle w:val="2"/>
        <w:rPr>
          <w:rFonts w:hint="eastAsia" w:ascii="宋体" w:hAnsi="宋体" w:eastAsia="宋体" w:cs="宋体"/>
          <w:color w:val="auto"/>
          <w:highlight w:val="none"/>
          <w:lang w:val="en-US" w:eastAsia="zh-CN"/>
        </w:rPr>
      </w:pPr>
    </w:p>
    <w:p>
      <w:pPr>
        <w:pStyle w:val="3"/>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32"/>
        <w:rPr>
          <w:rFonts w:hint="eastAsia"/>
          <w:lang w:val="en-US" w:eastAsia="zh-CN"/>
        </w:rPr>
      </w:pPr>
    </w:p>
    <w:p>
      <w:pPr>
        <w:pStyle w:val="5"/>
        <w:outlineLvl w:val="1"/>
        <w:rPr>
          <w:rFonts w:hint="eastAsia" w:ascii="宋体" w:hAnsi="宋体" w:eastAsia="宋体" w:cs="宋体"/>
          <w:color w:val="auto"/>
          <w:highlight w:val="none"/>
        </w:rPr>
      </w:pPr>
      <w:bookmarkStart w:id="285" w:name="_Toc2479"/>
      <w:bookmarkEnd w:id="285"/>
      <w:bookmarkStart w:id="286" w:name="_Toc516822640"/>
      <w:bookmarkEnd w:id="286"/>
      <w:bookmarkStart w:id="287" w:name="_Toc3460"/>
      <w:bookmarkEnd w:id="287"/>
      <w:bookmarkStart w:id="288" w:name="_Toc12495"/>
      <w:bookmarkEnd w:id="288"/>
      <w:bookmarkStart w:id="289" w:name="_Toc23641"/>
      <w:r>
        <w:rPr>
          <w:rFonts w:hint="eastAsia" w:ascii="宋体" w:hAnsi="宋体" w:eastAsia="宋体" w:cs="宋体"/>
          <w:color w:val="auto"/>
          <w:highlight w:val="none"/>
        </w:rPr>
        <w:t>4. 投标</w:t>
      </w:r>
      <w:bookmarkEnd w:id="289"/>
    </w:p>
    <w:p>
      <w:pPr>
        <w:pStyle w:val="7"/>
        <w:spacing w:before="0" w:beforeAutospacing="0" w:after="0" w:afterAutospacing="0" w:line="500" w:lineRule="exact"/>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1</w:t>
      </w:r>
      <w:r>
        <w:rPr>
          <w:rFonts w:hint="eastAsia" w:ascii="宋体" w:hAnsi="宋体" w:eastAsia="宋体" w:cs="宋体"/>
        </w:rPr>
        <w:t xml:space="preserve"> 投标文件的递交</w:t>
      </w:r>
    </w:p>
    <w:p>
      <w:pPr>
        <w:pStyle w:val="7"/>
        <w:spacing w:before="0" w:beforeAutospacing="0" w:after="0" w:afterAutospacing="0" w:line="500" w:lineRule="exact"/>
        <w:ind w:left="0" w:leftChars="0" w:firstLine="420" w:firstLineChars="175"/>
        <w:rPr>
          <w:rFonts w:hint="eastAsia" w:ascii="宋体" w:hAnsi="宋体" w:eastAsia="宋体" w:cs="宋体"/>
          <w:b w:val="0"/>
          <w:bCs w:val="0"/>
          <w:sz w:val="24"/>
          <w:szCs w:val="32"/>
        </w:rPr>
      </w:pPr>
      <w:r>
        <w:rPr>
          <w:rFonts w:hint="eastAsia" w:ascii="宋体" w:hAnsi="宋体" w:eastAsia="宋体" w:cs="宋体"/>
          <w:b w:val="0"/>
          <w:bCs w:val="0"/>
          <w:sz w:val="24"/>
          <w:szCs w:val="32"/>
          <w:lang w:val="en-US" w:eastAsia="zh-CN"/>
        </w:rPr>
        <w:t>4.1.1</w:t>
      </w:r>
      <w:r>
        <w:rPr>
          <w:rFonts w:hint="eastAsia" w:ascii="宋体" w:hAnsi="宋体" w:eastAsia="宋体" w:cs="宋体"/>
          <w:b w:val="0"/>
          <w:bCs w:val="0"/>
          <w:sz w:val="24"/>
          <w:szCs w:val="32"/>
        </w:rPr>
        <w:t>电子投标文件的递交</w:t>
      </w:r>
    </w:p>
    <w:p>
      <w:pPr>
        <w:pStyle w:val="7"/>
        <w:spacing w:before="0" w:beforeAutospacing="0" w:after="0" w:afterAutospacing="0" w:line="500" w:lineRule="exact"/>
        <w:ind w:left="0" w:leftChars="0" w:firstLine="420" w:firstLineChars="175"/>
        <w:rPr>
          <w:rFonts w:hint="eastAsia" w:ascii="宋体" w:hAnsi="宋体" w:eastAsia="宋体" w:cs="宋体"/>
          <w:b w:val="0"/>
          <w:bCs w:val="0"/>
          <w:sz w:val="24"/>
          <w:szCs w:val="32"/>
        </w:rPr>
      </w:pPr>
      <w:r>
        <w:rPr>
          <w:rFonts w:hint="eastAsia" w:ascii="宋体" w:hAnsi="宋体" w:eastAsia="宋体" w:cs="宋体"/>
          <w:b w:val="0"/>
          <w:bCs w:val="0"/>
          <w:sz w:val="24"/>
          <w:szCs w:val="32"/>
        </w:rPr>
        <w:t>各</w:t>
      </w:r>
      <w:r>
        <w:rPr>
          <w:rFonts w:hint="eastAsia" w:ascii="宋体" w:hAnsi="宋体" w:eastAsia="宋体" w:cs="宋体"/>
          <w:b w:val="0"/>
          <w:bCs w:val="0"/>
          <w:sz w:val="24"/>
          <w:szCs w:val="32"/>
          <w:lang w:eastAsia="zh-CN"/>
        </w:rPr>
        <w:t>投标人</w:t>
      </w:r>
      <w:r>
        <w:rPr>
          <w:rFonts w:hint="eastAsia" w:ascii="宋体" w:hAnsi="宋体" w:eastAsia="宋体" w:cs="宋体"/>
          <w:b w:val="0"/>
          <w:bCs w:val="0"/>
          <w:sz w:val="24"/>
          <w:szCs w:val="32"/>
        </w:rPr>
        <w:t>应在投标截止时间前上传加密的电子投标文件（*.XYTF）到会员系统的指定位置。上传时必须得到交易系统“上传成功”的确认回复后方为上传成功。请</w:t>
      </w:r>
      <w:r>
        <w:rPr>
          <w:rFonts w:hint="eastAsia" w:ascii="宋体" w:hAnsi="宋体" w:eastAsia="宋体" w:cs="宋体"/>
          <w:b w:val="0"/>
          <w:bCs w:val="0"/>
          <w:sz w:val="24"/>
          <w:szCs w:val="32"/>
          <w:lang w:eastAsia="zh-CN"/>
        </w:rPr>
        <w:t>投标人</w:t>
      </w:r>
      <w:r>
        <w:rPr>
          <w:rFonts w:hint="eastAsia" w:ascii="宋体" w:hAnsi="宋体" w:eastAsia="宋体" w:cs="宋体"/>
          <w:b w:val="0"/>
          <w:bCs w:val="0"/>
          <w:sz w:val="24"/>
          <w:szCs w:val="32"/>
        </w:rPr>
        <w:t>在上传前务必认真检查上传投标文件是否完整、正确。</w:t>
      </w:r>
    </w:p>
    <w:p>
      <w:pPr>
        <w:pStyle w:val="7"/>
        <w:spacing w:before="0" w:beforeAutospacing="0" w:after="0" w:afterAutospacing="0" w:line="500" w:lineRule="exact"/>
        <w:ind w:left="0" w:leftChars="0" w:firstLine="420" w:firstLineChars="175"/>
        <w:rPr>
          <w:rFonts w:hint="eastAsia" w:ascii="宋体" w:hAnsi="宋体" w:eastAsia="宋体" w:cs="宋体"/>
          <w:b w:val="0"/>
          <w:bCs w:val="0"/>
          <w:sz w:val="24"/>
          <w:szCs w:val="32"/>
        </w:rPr>
      </w:pPr>
      <w:r>
        <w:rPr>
          <w:rFonts w:hint="eastAsia" w:ascii="宋体" w:hAnsi="宋体" w:eastAsia="宋体" w:cs="宋体"/>
          <w:b w:val="0"/>
          <w:bCs w:val="0"/>
          <w:sz w:val="24"/>
          <w:szCs w:val="32"/>
          <w:lang w:val="en-US" w:eastAsia="zh-CN"/>
        </w:rPr>
        <w:t>4.1.2</w:t>
      </w:r>
      <w:r>
        <w:rPr>
          <w:rFonts w:hint="eastAsia" w:ascii="宋体" w:hAnsi="宋体" w:eastAsia="宋体" w:cs="宋体"/>
          <w:b w:val="0"/>
          <w:bCs w:val="0"/>
          <w:sz w:val="24"/>
          <w:szCs w:val="32"/>
        </w:rPr>
        <w:t xml:space="preserve">本项目采用“不见面开标”交易方式，不见面开标大厅网址为 </w:t>
      </w:r>
      <w:r>
        <w:rPr>
          <w:rFonts w:hint="eastAsia" w:ascii="宋体" w:hAnsi="宋体" w:eastAsia="宋体" w:cs="宋体"/>
          <w:b w:val="0"/>
          <w:bCs w:val="0"/>
          <w:sz w:val="24"/>
          <w:szCs w:val="32"/>
          <w:lang w:eastAsia="zh-CN"/>
        </w:rPr>
        <w:t>https://ggzyjy.xinyang.gov.cn/</w:t>
      </w:r>
      <w:r>
        <w:rPr>
          <w:rFonts w:hint="eastAsia" w:ascii="宋体" w:hAnsi="宋体" w:eastAsia="宋体" w:cs="宋体"/>
          <w:b w:val="0"/>
          <w:bCs w:val="0"/>
          <w:sz w:val="24"/>
          <w:szCs w:val="32"/>
        </w:rPr>
        <w:t>，</w:t>
      </w:r>
      <w:r>
        <w:rPr>
          <w:rFonts w:hint="eastAsia" w:ascii="宋体" w:hAnsi="宋体" w:eastAsia="宋体" w:cs="宋体"/>
          <w:b w:val="0"/>
          <w:bCs w:val="0"/>
          <w:sz w:val="24"/>
          <w:szCs w:val="32"/>
          <w:lang w:eastAsia="zh-CN"/>
        </w:rPr>
        <w:t>投标人</w:t>
      </w:r>
      <w:r>
        <w:rPr>
          <w:rFonts w:hint="eastAsia" w:ascii="宋体" w:hAnsi="宋体" w:eastAsia="宋体" w:cs="宋体"/>
          <w:b w:val="0"/>
          <w:bCs w:val="0"/>
          <w:sz w:val="24"/>
          <w:szCs w:val="32"/>
        </w:rPr>
        <w:t>无需寄送和递交非加密的电子投标文件，无需到现场参加开标会议，无需到达现场提交原件资料。</w:t>
      </w:r>
    </w:p>
    <w:p>
      <w:pPr>
        <w:pStyle w:val="7"/>
        <w:spacing w:before="0" w:beforeAutospacing="0" w:after="0" w:afterAutospacing="0" w:line="500" w:lineRule="exact"/>
        <w:ind w:left="0" w:leftChars="0" w:firstLine="420" w:firstLineChars="175"/>
        <w:rPr>
          <w:rFonts w:hint="eastAsia" w:ascii="宋体" w:hAnsi="宋体" w:eastAsia="宋体" w:cs="宋体"/>
          <w:b w:val="0"/>
          <w:bCs w:val="0"/>
          <w:sz w:val="24"/>
          <w:szCs w:val="32"/>
        </w:rPr>
      </w:pPr>
      <w:r>
        <w:rPr>
          <w:rFonts w:hint="eastAsia" w:ascii="宋体" w:hAnsi="宋体" w:eastAsia="宋体" w:cs="宋体"/>
          <w:b w:val="0"/>
          <w:bCs w:val="0"/>
          <w:sz w:val="24"/>
          <w:szCs w:val="32"/>
          <w:lang w:val="en-US" w:eastAsia="zh-CN"/>
        </w:rPr>
        <w:t>4.1.3</w:t>
      </w:r>
      <w:r>
        <w:rPr>
          <w:rFonts w:hint="eastAsia" w:ascii="宋体" w:hAnsi="宋体" w:eastAsia="宋体" w:cs="宋体"/>
          <w:b w:val="0"/>
          <w:bCs w:val="0"/>
          <w:sz w:val="24"/>
          <w:szCs w:val="32"/>
          <w:lang w:eastAsia="zh-CN"/>
        </w:rPr>
        <w:t>投标人</w:t>
      </w:r>
      <w:r>
        <w:rPr>
          <w:rFonts w:hint="eastAsia" w:ascii="宋体" w:hAnsi="宋体" w:eastAsia="宋体" w:cs="宋体"/>
          <w:b w:val="0"/>
          <w:bCs w:val="0"/>
          <w:sz w:val="24"/>
          <w:szCs w:val="32"/>
        </w:rPr>
        <w:t>因息县电子招投标交易平台问题无法上传电子投标文件时，请在工作时间与交易中心联系。</w:t>
      </w:r>
    </w:p>
    <w:p>
      <w:pPr>
        <w:pStyle w:val="7"/>
        <w:spacing w:before="0" w:beforeAutospacing="0" w:after="0" w:afterAutospacing="0" w:line="500" w:lineRule="exact"/>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2</w:t>
      </w:r>
      <w:r>
        <w:rPr>
          <w:rFonts w:hint="eastAsia" w:ascii="宋体" w:hAnsi="宋体" w:eastAsia="宋体" w:cs="宋体"/>
        </w:rPr>
        <w:t>投标文件的修改与撤回</w:t>
      </w:r>
    </w:p>
    <w:p>
      <w:pPr>
        <w:pStyle w:val="7"/>
        <w:spacing w:before="0" w:beforeAutospacing="0" w:after="0" w:afterAutospacing="0" w:line="500" w:lineRule="exact"/>
        <w:ind w:left="0" w:leftChars="0" w:firstLine="420" w:firstLineChars="175"/>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在规定的投标截止时间前，投标人可以多次修改或撤回已递交的投标文件，最终投标文件以投标截止时间前完成上传至息县公共资源交易中心交易系统最后一份投标文件为准。</w:t>
      </w:r>
    </w:p>
    <w:p>
      <w:pPr>
        <w:pStyle w:val="2"/>
        <w:rPr>
          <w:rFonts w:hint="eastAsia" w:ascii="宋体" w:hAnsi="宋体" w:eastAsia="宋体" w:cs="宋体"/>
          <w:color w:val="auto"/>
          <w:sz w:val="24"/>
          <w:szCs w:val="32"/>
          <w:highlight w:val="none"/>
        </w:rPr>
      </w:pPr>
    </w:p>
    <w:p>
      <w:pPr>
        <w:pStyle w:val="32"/>
        <w:rPr>
          <w:rFonts w:hint="eastAsia"/>
        </w:rPr>
      </w:pPr>
    </w:p>
    <w:p>
      <w:pPr>
        <w:pStyle w:val="5"/>
        <w:outlineLvl w:val="1"/>
        <w:rPr>
          <w:rFonts w:hint="eastAsia" w:ascii="宋体" w:hAnsi="宋体" w:eastAsia="宋体" w:cs="宋体"/>
          <w:color w:val="auto"/>
          <w:highlight w:val="none"/>
        </w:rPr>
        <w:sectPr>
          <w:pgSz w:w="11907" w:h="16840"/>
          <w:pgMar w:top="1417" w:right="1417" w:bottom="1418" w:left="1417" w:header="851" w:footer="851" w:gutter="0"/>
          <w:pgNumType w:fmt="decimal"/>
          <w:cols w:space="720" w:num="1"/>
          <w:docGrid w:linePitch="312" w:charSpace="0"/>
        </w:sectPr>
      </w:pPr>
      <w:bookmarkStart w:id="290" w:name="_Toc516822641"/>
      <w:bookmarkStart w:id="291" w:name="_Toc3101"/>
      <w:bookmarkStart w:id="292" w:name="_Toc15223"/>
    </w:p>
    <w:bookmarkEnd w:id="290"/>
    <w:bookmarkEnd w:id="291"/>
    <w:bookmarkEnd w:id="292"/>
    <w:p>
      <w:pPr>
        <w:pStyle w:val="5"/>
        <w:outlineLvl w:val="1"/>
        <w:rPr>
          <w:rFonts w:hint="eastAsia" w:ascii="宋体" w:hAnsi="宋体" w:eastAsia="宋体" w:cs="宋体"/>
          <w:color w:val="auto"/>
          <w:sz w:val="28"/>
          <w:szCs w:val="28"/>
          <w:highlight w:val="none"/>
        </w:rPr>
      </w:pPr>
      <w:bookmarkStart w:id="293" w:name="_Toc14470"/>
      <w:bookmarkEnd w:id="293"/>
      <w:bookmarkStart w:id="294" w:name="_Toc7577"/>
      <w:r>
        <w:rPr>
          <w:rFonts w:hint="eastAsia" w:ascii="宋体" w:hAnsi="宋体" w:eastAsia="宋体" w:cs="宋体"/>
          <w:color w:val="auto"/>
          <w:highlight w:val="none"/>
        </w:rPr>
        <w:t>5. 开标</w:t>
      </w:r>
      <w:bookmarkEnd w:id="294"/>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bookmarkStart w:id="295" w:name="_Toc297211680"/>
      <w:bookmarkStart w:id="296" w:name="_Toc8617"/>
      <w:bookmarkStart w:id="297" w:name="_Toc5094"/>
      <w:bookmarkStart w:id="298" w:name="_Toc516822642"/>
      <w:r>
        <w:rPr>
          <w:rFonts w:hint="eastAsia" w:ascii="宋体" w:hAnsi="宋体" w:eastAsia="宋体" w:cs="宋体"/>
          <w:color w:val="auto"/>
          <w:highlight w:val="none"/>
        </w:rPr>
        <w:t>5.1开标时间和地点</w:t>
      </w:r>
      <w:bookmarkEnd w:id="295"/>
    </w:p>
    <w:p>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bookmarkStart w:id="299" w:name="_Toc297211681"/>
      <w:r>
        <w:rPr>
          <w:rFonts w:hint="eastAsia" w:ascii="宋体" w:hAnsi="宋体" w:eastAsia="宋体" w:cs="宋体"/>
          <w:color w:val="auto"/>
          <w:highlight w:val="none"/>
        </w:rPr>
        <w:t>5.2 开标程序</w:t>
      </w:r>
      <w:bookmarkEnd w:id="299"/>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5.2.1</w:t>
      </w: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，投标供应商无需寄送和递交非加密的电子投标文件，无需到现场参加开标会议，无需到达现场提交原件资料。</w:t>
      </w:r>
      <w:r>
        <w:rPr>
          <w:rFonts w:hint="eastAsia" w:ascii="宋体" w:hAnsi="宋体" w:eastAsia="宋体" w:cs="宋体"/>
          <w:b w:val="0"/>
          <w:bCs w:val="0"/>
          <w:color w:val="000000"/>
          <w:sz w:val="24"/>
          <w:szCs w:val="24"/>
        </w:rPr>
        <w:fldChar w:fldCharType="end"/>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投标供应商应当在投标截止时间前，使用投标供应商CA数字证书登录不见面开标大厅，在线签到并准时参加开标活动，并在规定时间内完成投标文件解密、答疑澄清等。</w:t>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 。</w:t>
      </w:r>
    </w:p>
    <w:p>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开标过程中，投标供应商如有异议，须在开标结束前通过系统提出，否则视同认可开标记录。开标结束后，对开标记录的任何异议不再接受。 </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5.2.2资格审查</w:t>
      </w:r>
    </w:p>
    <w:p>
      <w:pPr>
        <w:pStyle w:val="2"/>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进行资格审查。</w:t>
      </w:r>
    </w:p>
    <w:p>
      <w:pPr>
        <w:pStyle w:val="2"/>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根据招标文件资格条件要求提供相关证明材料的扫描件加盖</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企业电子章及法定代表人个人电子章。未按要求提供的投标文件无效。</w:t>
      </w:r>
    </w:p>
    <w:p>
      <w:pPr>
        <w:pStyle w:val="2"/>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highlight w:val="none"/>
        </w:rPr>
        <w:t>通过资格审查的</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 xml:space="preserve">不足三家的，按废标处理，采购人应依法重新招标。   </w:t>
      </w:r>
    </w:p>
    <w:bookmarkEnd w:id="296"/>
    <w:bookmarkEnd w:id="297"/>
    <w:bookmarkEnd w:id="298"/>
    <w:p>
      <w:pPr>
        <w:pStyle w:val="5"/>
        <w:outlineLvl w:val="1"/>
        <w:rPr>
          <w:rFonts w:hint="eastAsia" w:ascii="宋体" w:hAnsi="宋体" w:eastAsia="宋体" w:cs="宋体"/>
          <w:color w:val="auto"/>
          <w:highlight w:val="none"/>
        </w:rPr>
      </w:pPr>
      <w:bookmarkStart w:id="300" w:name="_Toc30976"/>
      <w:bookmarkEnd w:id="300"/>
      <w:bookmarkStart w:id="301" w:name="_Toc27915"/>
      <w:r>
        <w:rPr>
          <w:rFonts w:hint="eastAsia" w:ascii="宋体" w:hAnsi="宋体" w:eastAsia="宋体" w:cs="宋体"/>
          <w:color w:val="auto"/>
          <w:highlight w:val="none"/>
        </w:rPr>
        <w:t>6. 评标</w:t>
      </w:r>
      <w:bookmarkEnd w:id="301"/>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6.1 评标委员会</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6.1.1 评标由</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依法组建的评标委员会负责。评标委员会由有关技术、经济等方面的专家组成。评标委员会成员人数以及技术、经济等方面专家的确定方式见投标人须知前附表。</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6.1.2 评标委员会成员有下列情形之一的，应当回避：</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或投标人的主要负责人的近亲属；</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（2）项目主管部门或者行政监督部门的人员；</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（3）与投标人有经济利益关系，可能影响对投标公正评审的；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（4）曾因在招标、评标以及其他与招标投标有关活动中从事违法行为而受过行政处罚或刑事处罚的。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（5）“信用中国”网站（www.creditchina,gov,cn）记录为失信被执行人的。</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6.2 评标原则</w:t>
      </w:r>
      <w:r>
        <w:rPr>
          <w:rFonts w:hint="eastAsia" w:ascii="宋体" w:hAnsi="宋体" w:eastAsia="宋体" w:cs="宋体"/>
          <w:color w:val="auto"/>
          <w:highlight w:val="none"/>
        </w:rPr>
        <w:tab/>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评标活动遵循公平、公正、科学和择优的原则。</w:t>
      </w:r>
    </w:p>
    <w:p>
      <w:pPr>
        <w:spacing w:line="500" w:lineRule="exac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6.3 评标过程的保密</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评标</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评标委员会按照第三章“评标办法”规定的方法、评审因素、标准和程序对投标文件进行评审。第三章“评标办法”没有规定的方法、评审因素和标准，不作为评标依据。</w:t>
      </w:r>
    </w:p>
    <w:p>
      <w:pPr>
        <w:pStyle w:val="5"/>
        <w:outlineLvl w:val="1"/>
        <w:rPr>
          <w:rFonts w:hint="eastAsia" w:ascii="宋体" w:hAnsi="宋体" w:eastAsia="宋体" w:cs="宋体"/>
          <w:color w:val="auto"/>
          <w:highlight w:val="none"/>
        </w:rPr>
        <w:sectPr>
          <w:pgSz w:w="11907" w:h="16840"/>
          <w:pgMar w:top="1417" w:right="1417" w:bottom="1418" w:left="1417" w:header="851" w:footer="851" w:gutter="0"/>
          <w:pgNumType w:fmt="decimal"/>
          <w:cols w:space="720" w:num="1"/>
          <w:docGrid w:linePitch="312" w:charSpace="0"/>
        </w:sectPr>
      </w:pPr>
      <w:bookmarkStart w:id="302" w:name="_Toc516822643"/>
      <w:bookmarkStart w:id="303" w:name="_Toc11362"/>
      <w:bookmarkStart w:id="304" w:name="_Toc16190"/>
    </w:p>
    <w:bookmarkEnd w:id="302"/>
    <w:bookmarkEnd w:id="303"/>
    <w:bookmarkEnd w:id="304"/>
    <w:p>
      <w:pPr>
        <w:pStyle w:val="5"/>
        <w:outlineLvl w:val="1"/>
        <w:rPr>
          <w:rFonts w:hint="eastAsia" w:ascii="宋体" w:hAnsi="宋体" w:eastAsia="宋体" w:cs="宋体"/>
          <w:color w:val="auto"/>
          <w:highlight w:val="none"/>
        </w:rPr>
      </w:pPr>
      <w:bookmarkStart w:id="305" w:name="_Toc2405"/>
      <w:bookmarkEnd w:id="305"/>
      <w:bookmarkStart w:id="306" w:name="_Toc13392"/>
      <w:r>
        <w:rPr>
          <w:rFonts w:hint="eastAsia" w:ascii="宋体" w:hAnsi="宋体" w:eastAsia="宋体" w:cs="宋体"/>
          <w:color w:val="auto"/>
          <w:highlight w:val="none"/>
        </w:rPr>
        <w:t>7. 合同授予</w:t>
      </w:r>
      <w:bookmarkEnd w:id="306"/>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7.1 定标方式</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除投标人须知前附表规定评标委员会直接确定中标人外，</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依据评标委员会推荐的中标候选人确定中标人，评标委员会推荐中标候选人的人数见投标人须知前附表。</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7.2 中标通知</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在本章第3.3款规定的投标有效期内，</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向中标人发出中标通知书，同时将中标结果通知未中标的投标人。</w:t>
      </w:r>
    </w:p>
    <w:p>
      <w:pPr>
        <w:pStyle w:val="7"/>
        <w:pageBreakBefore w:val="0"/>
        <w:widowControl w:val="0"/>
        <w:kinsoku/>
        <w:overflowPunct/>
        <w:topLinePunct w:val="0"/>
        <w:bidi w:val="0"/>
        <w:adjustRightInd/>
        <w:spacing w:before="0" w:beforeAutospacing="0" w:after="0" w:afterAutospacing="0" w:line="50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7.3 履约担保</w:t>
      </w:r>
      <w:r>
        <w:rPr>
          <w:rFonts w:hint="eastAsia" w:ascii="宋体" w:hAnsi="宋体" w:eastAsia="宋体" w:cs="宋体"/>
          <w:color w:val="auto"/>
          <w:highlight w:val="none"/>
          <w:lang w:val="en-US" w:eastAsia="zh-CN"/>
        </w:rPr>
        <w:t>(无)</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 签订合同</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7.4.1</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和中标人应当自中标通知书发出之日起30天内，根据招标文件和中标人的投标文件订立书面合同并由中标人上传交易系统中。中标人无正当理由拒签合同的，</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取消其中标资格，其投标保证金不予退还；给</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 xml:space="preserve">造成的损失超过投标保证金数额的，中标人还应当对超过部分予以赔偿。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7.4.2 发出中标通知书后，</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 xml:space="preserve">无正当理由拒签合同的，给中标人造成损失的，还应当赔偿损失。 </w:t>
      </w:r>
    </w:p>
    <w:p>
      <w:pPr>
        <w:pStyle w:val="5"/>
        <w:outlineLvl w:val="1"/>
        <w:rPr>
          <w:rFonts w:hint="eastAsia" w:ascii="宋体" w:hAnsi="宋体" w:eastAsia="宋体" w:cs="宋体"/>
          <w:color w:val="auto"/>
          <w:highlight w:val="none"/>
        </w:rPr>
        <w:sectPr>
          <w:pgSz w:w="11907" w:h="16840"/>
          <w:pgMar w:top="1417" w:right="1417" w:bottom="1418" w:left="1417" w:header="851" w:footer="851" w:gutter="0"/>
          <w:pgNumType w:fmt="decimal"/>
          <w:cols w:space="720" w:num="1"/>
          <w:docGrid w:linePitch="312" w:charSpace="0"/>
        </w:sectPr>
      </w:pPr>
      <w:bookmarkStart w:id="307" w:name="_Toc19664"/>
      <w:bookmarkStart w:id="308" w:name="_Toc516822644"/>
      <w:bookmarkStart w:id="309" w:name="_Toc1146"/>
    </w:p>
    <w:bookmarkEnd w:id="307"/>
    <w:bookmarkEnd w:id="308"/>
    <w:bookmarkEnd w:id="309"/>
    <w:p>
      <w:pPr>
        <w:pStyle w:val="5"/>
        <w:outlineLvl w:val="1"/>
        <w:rPr>
          <w:rFonts w:hint="eastAsia" w:ascii="宋体" w:hAnsi="宋体" w:eastAsia="宋体" w:cs="宋体"/>
          <w:color w:val="auto"/>
          <w:highlight w:val="none"/>
        </w:rPr>
      </w:pPr>
      <w:bookmarkStart w:id="310" w:name="_Toc6312"/>
      <w:bookmarkEnd w:id="310"/>
      <w:bookmarkStart w:id="311" w:name="_Toc12323"/>
      <w:r>
        <w:rPr>
          <w:rFonts w:hint="eastAsia" w:ascii="宋体" w:hAnsi="宋体" w:eastAsia="宋体" w:cs="宋体"/>
          <w:color w:val="auto"/>
          <w:highlight w:val="none"/>
        </w:rPr>
        <w:t>8. 重新招标和不再招标</w:t>
      </w:r>
      <w:bookmarkEnd w:id="311"/>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8.1重新招标 </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8.2不再招标</w:t>
      </w:r>
    </w:p>
    <w:p>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pPr>
        <w:pStyle w:val="5"/>
        <w:outlineLvl w:val="1"/>
        <w:rPr>
          <w:rFonts w:hint="eastAsia" w:ascii="宋体" w:hAnsi="宋体" w:eastAsia="宋体" w:cs="宋体"/>
          <w:color w:val="auto"/>
          <w:highlight w:val="none"/>
        </w:rPr>
      </w:pPr>
      <w:bookmarkStart w:id="312" w:name="_Toc18362"/>
      <w:bookmarkEnd w:id="312"/>
      <w:bookmarkStart w:id="313" w:name="_Toc12404"/>
      <w:r>
        <w:rPr>
          <w:rFonts w:hint="eastAsia" w:ascii="宋体" w:hAnsi="宋体" w:eastAsia="宋体" w:cs="宋体"/>
          <w:color w:val="auto"/>
          <w:highlight w:val="none"/>
        </w:rPr>
        <w:t>9. 纪律和监督</w:t>
      </w:r>
      <w:bookmarkEnd w:id="313"/>
    </w:p>
    <w:p>
      <w:pPr>
        <w:widowControl/>
        <w:spacing w:line="500" w:lineRule="exact"/>
        <w:ind w:firstLine="482"/>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9.1对采购人的纪律要求</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pPr>
        <w:widowControl/>
        <w:spacing w:line="500" w:lineRule="exact"/>
        <w:ind w:firstLine="482"/>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9.2对投标供应商的纪律要求</w:t>
      </w:r>
    </w:p>
    <w:p>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pPr>
        <w:widowControl/>
        <w:spacing w:line="500" w:lineRule="exact"/>
        <w:ind w:firstLine="482"/>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9.3对评标委员会成员的纪律要求</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pacing w:line="500" w:lineRule="exact"/>
        <w:ind w:firstLine="482"/>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9.4对与评标活动有关的工作人员的纪律要求</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idowControl/>
        <w:spacing w:line="500" w:lineRule="exact"/>
        <w:ind w:firstLine="482"/>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9.5投诉、质疑  </w:t>
      </w:r>
    </w:p>
    <w:p>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投标供应商和其他利害关系人认为本次招标活动违反法律、法规和规章规定的，有权向有关行政监督部门投诉。</w:t>
      </w:r>
    </w:p>
    <w:p>
      <w:pPr>
        <w:pStyle w:val="2"/>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pPr>
        <w:pStyle w:val="2"/>
        <w:rPr>
          <w:rFonts w:hint="eastAsia"/>
        </w:rPr>
      </w:pPr>
    </w:p>
    <w:p>
      <w:pPr>
        <w:pStyle w:val="3"/>
        <w:rPr>
          <w:rFonts w:hint="eastAsia"/>
        </w:rPr>
      </w:pPr>
    </w:p>
    <w:p>
      <w:pPr>
        <w:pStyle w:val="2"/>
        <w:rPr>
          <w:rFonts w:hint="eastAsia"/>
        </w:rPr>
      </w:pPr>
    </w:p>
    <w:p>
      <w:pPr>
        <w:pStyle w:val="3"/>
        <w:rPr>
          <w:rFonts w:hint="eastAsia"/>
        </w:rPr>
      </w:pPr>
    </w:p>
    <w:p>
      <w:pPr>
        <w:pStyle w:val="5"/>
        <w:outlineLvl w:val="1"/>
        <w:rPr>
          <w:rFonts w:hint="eastAsia" w:ascii="宋体" w:hAnsi="宋体" w:eastAsia="宋体" w:cs="宋体"/>
          <w:color w:val="auto"/>
          <w:highlight w:val="none"/>
        </w:rPr>
      </w:pPr>
      <w:bookmarkStart w:id="314" w:name="_Toc188"/>
      <w:bookmarkEnd w:id="314"/>
      <w:bookmarkStart w:id="315" w:name="_Toc2404"/>
      <w:bookmarkEnd w:id="315"/>
      <w:bookmarkStart w:id="316" w:name="_Toc516822646"/>
      <w:bookmarkEnd w:id="316"/>
      <w:bookmarkStart w:id="317" w:name="_Toc26007"/>
      <w:bookmarkEnd w:id="317"/>
      <w:bookmarkStart w:id="318" w:name="_Toc23062"/>
      <w:r>
        <w:rPr>
          <w:rFonts w:hint="eastAsia" w:ascii="宋体" w:hAnsi="宋体" w:eastAsia="宋体" w:cs="宋体"/>
          <w:color w:val="auto"/>
          <w:highlight w:val="none"/>
        </w:rPr>
        <w:t>10. 需要补充的其他内容</w:t>
      </w:r>
      <w:bookmarkEnd w:id="318"/>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需要补充的其他内容：见投标人须知前附表。</w:t>
      </w:r>
    </w:p>
    <w:p>
      <w:pPr>
        <w:pStyle w:val="2"/>
        <w:jc w:val="center"/>
        <w:outlineLvl w:val="1"/>
        <w:rPr>
          <w:rFonts w:hint="eastAsia" w:ascii="宋体" w:hAnsi="宋体" w:eastAsia="宋体" w:cs="宋体"/>
          <w:color w:val="auto"/>
          <w:highlight w:val="none"/>
        </w:rPr>
        <w:sectPr>
          <w:pgSz w:w="11907" w:h="16840"/>
          <w:pgMar w:top="1417" w:right="1417" w:bottom="1418" w:left="1417" w:header="851" w:footer="851" w:gutter="0"/>
          <w:pgNumType w:fmt="decimal"/>
          <w:cols w:space="720" w:num="1"/>
          <w:docGrid w:linePitch="312" w:charSpace="0"/>
        </w:sectPr>
      </w:pPr>
      <w:bookmarkStart w:id="319" w:name="_Toc26485"/>
      <w:bookmarkEnd w:id="319"/>
      <w:bookmarkStart w:id="320" w:name="_Toc32587"/>
      <w:bookmarkEnd w:id="320"/>
      <w:r>
        <w:rPr>
          <w:rFonts w:hint="eastAsia" w:ascii="宋体" w:hAnsi="宋体" w:eastAsia="宋体" w:cs="宋体"/>
          <w:color w:val="auto"/>
          <w:highlight w:val="none"/>
        </w:rPr>
        <w:br w:type="page"/>
      </w:r>
      <w:bookmarkStart w:id="321" w:name="_Toc23436"/>
    </w:p>
    <w:p>
      <w:pPr>
        <w:pStyle w:val="20"/>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附表：</w:t>
      </w:r>
    </w:p>
    <w:p>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6"/>
        <w:tblW w:w="10095" w:type="dxa"/>
        <w:jc w:val="center"/>
        <w:tblLayout w:type="fixed"/>
        <w:tblCellMar>
          <w:top w:w="0" w:type="dxa"/>
          <w:left w:w="108" w:type="dxa"/>
          <w:bottom w:w="0" w:type="dxa"/>
          <w:right w:w="108" w:type="dxa"/>
        </w:tblCellMar>
      </w:tblPr>
      <w:tblGrid>
        <w:gridCol w:w="2113"/>
        <w:gridCol w:w="1533"/>
        <w:gridCol w:w="725"/>
        <w:gridCol w:w="1151"/>
        <w:gridCol w:w="1973"/>
        <w:gridCol w:w="1499"/>
        <w:gridCol w:w="1101"/>
      </w:tblGrid>
      <w:tr>
        <w:tblPrEx>
          <w:tblCellMar>
            <w:top w:w="0" w:type="dxa"/>
            <w:left w:w="108" w:type="dxa"/>
            <w:bottom w:w="0" w:type="dxa"/>
            <w:right w:w="108" w:type="dxa"/>
          </w:tblCellMar>
        </w:tblPrEx>
        <w:trPr>
          <w:trHeight w:val="647" w:hRule="exact"/>
          <w:jc w:val="center"/>
        </w:trPr>
        <w:tc>
          <w:tcPr>
            <w:tcW w:w="21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53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2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5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7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99"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10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tblPrEx>
          <w:tblCellMar>
            <w:top w:w="0" w:type="dxa"/>
            <w:left w:w="108" w:type="dxa"/>
            <w:bottom w:w="0" w:type="dxa"/>
            <w:right w:w="108" w:type="dxa"/>
          </w:tblCellMar>
        </w:tblPrEx>
        <w:trPr>
          <w:trHeight w:val="413" w:hRule="exact"/>
          <w:jc w:val="center"/>
        </w:trPr>
        <w:tc>
          <w:tcPr>
            <w:tcW w:w="2113"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53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7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7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7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99" w:type="dxa"/>
            <w:tcBorders>
              <w:top w:val="nil"/>
              <w:left w:val="nil"/>
              <w:bottom w:val="single" w:color="auto" w:sz="4" w:space="0"/>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7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99" w:type="dxa"/>
            <w:tcBorders>
              <w:top w:val="nil"/>
              <w:left w:val="nil"/>
              <w:bottom w:val="nil"/>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99" w:type="dxa"/>
            <w:tcBorders>
              <w:top w:val="nil"/>
              <w:left w:val="nil"/>
              <w:bottom w:val="single" w:color="auto" w:sz="4" w:space="0"/>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7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73"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7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73"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73"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41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7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41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53" w:hRule="exact"/>
          <w:jc w:val="center"/>
        </w:trPr>
        <w:tc>
          <w:tcPr>
            <w:tcW w:w="21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73"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53" w:hRule="exact"/>
          <w:jc w:val="center"/>
        </w:trPr>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spacing w:val="-12"/>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tblPrEx>
          <w:tblCellMar>
            <w:top w:w="0" w:type="dxa"/>
            <w:left w:w="108" w:type="dxa"/>
            <w:bottom w:w="0" w:type="dxa"/>
            <w:right w:w="108" w:type="dxa"/>
          </w:tblCellMar>
        </w:tblPrEx>
        <w:trPr>
          <w:trHeight w:val="35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7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tblPrEx>
          <w:tblCellMar>
            <w:top w:w="0" w:type="dxa"/>
            <w:left w:w="108" w:type="dxa"/>
            <w:bottom w:w="0" w:type="dxa"/>
            <w:right w:w="108" w:type="dxa"/>
          </w:tblCellMar>
        </w:tblPrEx>
        <w:trPr>
          <w:trHeight w:val="35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tblPrEx>
          <w:tblCellMar>
            <w:top w:w="0" w:type="dxa"/>
            <w:left w:w="108" w:type="dxa"/>
            <w:bottom w:w="0" w:type="dxa"/>
            <w:right w:w="108" w:type="dxa"/>
          </w:tblCellMar>
        </w:tblPrEx>
        <w:trPr>
          <w:trHeight w:val="35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7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tblPrEx>
          <w:tblCellMar>
            <w:top w:w="0" w:type="dxa"/>
            <w:left w:w="108" w:type="dxa"/>
            <w:bottom w:w="0" w:type="dxa"/>
            <w:right w:w="108" w:type="dxa"/>
          </w:tblCellMar>
        </w:tblPrEx>
        <w:trPr>
          <w:trHeight w:val="35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73" w:type="dxa"/>
            <w:tcBorders>
              <w:top w:val="nil"/>
              <w:left w:val="nil"/>
              <w:bottom w:val="single" w:color="auto" w:sz="4" w:space="0"/>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tblPrEx>
          <w:tblCellMar>
            <w:top w:w="0" w:type="dxa"/>
            <w:left w:w="108" w:type="dxa"/>
            <w:bottom w:w="0" w:type="dxa"/>
            <w:right w:w="108" w:type="dxa"/>
          </w:tblCellMar>
        </w:tblPrEx>
        <w:trPr>
          <w:trHeight w:val="353" w:hRule="exact"/>
          <w:jc w:val="center"/>
        </w:trPr>
        <w:tc>
          <w:tcPr>
            <w:tcW w:w="2113"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533"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73" w:type="dxa"/>
            <w:tcBorders>
              <w:top w:val="nil"/>
              <w:left w:val="nil"/>
              <w:bottom w:val="nil"/>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99"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101"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tblPrEx>
          <w:tblCellMar>
            <w:top w:w="0" w:type="dxa"/>
            <w:left w:w="108" w:type="dxa"/>
            <w:bottom w:w="0" w:type="dxa"/>
            <w:right w:w="108" w:type="dxa"/>
          </w:tblCellMar>
        </w:tblPrEx>
        <w:trPr>
          <w:trHeight w:val="353" w:hRule="exact"/>
          <w:jc w:val="center"/>
        </w:trPr>
        <w:tc>
          <w:tcPr>
            <w:tcW w:w="211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p>
        </w:tc>
        <w:tc>
          <w:tcPr>
            <w:tcW w:w="1533"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7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tblPrEx>
          <w:tblCellMar>
            <w:top w:w="0" w:type="dxa"/>
            <w:left w:w="108" w:type="dxa"/>
            <w:bottom w:w="0" w:type="dxa"/>
            <w:right w:w="108" w:type="dxa"/>
          </w:tblCellMar>
        </w:tblPrEx>
        <w:trPr>
          <w:trHeight w:val="423" w:hRule="exact"/>
          <w:jc w:val="center"/>
        </w:trPr>
        <w:tc>
          <w:tcPr>
            <w:tcW w:w="2113"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53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2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5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73" w:type="dxa"/>
            <w:tcBorders>
              <w:top w:val="nil"/>
              <w:left w:val="nil"/>
              <w:bottom w:val="single" w:color="auto" w:sz="4" w:space="0"/>
              <w:right w:val="single" w:color="auto" w:sz="4" w:space="0"/>
            </w:tcBorders>
            <w:vAlign w:val="center"/>
          </w:tcPr>
          <w:p>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9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1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pPr>
        <w:pStyle w:val="20"/>
        <w:ind w:firstLine="440"/>
        <w:rPr>
          <w:rFonts w:ascii="宋体" w:hAnsi="宋体" w:eastAsia="宋体" w:cs="宋体"/>
          <w:color w:val="000000"/>
          <w:sz w:val="22"/>
          <w:szCs w:val="22"/>
        </w:rPr>
      </w:pPr>
    </w:p>
    <w:p>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pPr>
        <w:spacing w:line="560" w:lineRule="exact"/>
        <w:ind w:firstLine="482"/>
        <w:outlineLvl w:val="1"/>
        <w:rPr>
          <w:rFonts w:ascii="宋体" w:hAnsi="宋体" w:cs="宋体"/>
          <w:b/>
          <w:sz w:val="24"/>
        </w:rPr>
      </w:pPr>
    </w:p>
    <w:p>
      <w:pPr>
        <w:pStyle w:val="24"/>
      </w:pPr>
    </w:p>
    <w:p>
      <w:pPr>
        <w:pStyle w:val="35"/>
        <w:ind w:firstLine="482" w:firstLineChars="200"/>
        <w:rPr>
          <w:highlight w:val="none"/>
        </w:rPr>
        <w:sectPr>
          <w:footerReference r:id="rId6" w:type="default"/>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本项目对应的“中小企业划分标准”所属行业是属于“建筑业”。</w:t>
      </w:r>
    </w:p>
    <w:p>
      <w:pPr>
        <w:pStyle w:val="2"/>
        <w:jc w:val="center"/>
        <w:outlineLvl w:val="1"/>
        <w:rPr>
          <w:rFonts w:hint="eastAsia" w:ascii="宋体" w:hAnsi="宋体" w:eastAsia="宋体" w:cs="宋体"/>
          <w:color w:val="auto"/>
          <w:highlight w:val="none"/>
        </w:rPr>
      </w:pPr>
      <w:bookmarkStart w:id="322" w:name="_Toc2974"/>
      <w:r>
        <w:rPr>
          <w:rFonts w:hint="eastAsia" w:ascii="宋体" w:hAnsi="宋体" w:eastAsia="宋体" w:cs="宋体"/>
          <w:b/>
          <w:bCs/>
          <w:color w:val="auto"/>
          <w:kern w:val="2"/>
          <w:sz w:val="32"/>
          <w:szCs w:val="32"/>
          <w:highlight w:val="none"/>
          <w:lang w:val="en-US" w:eastAsia="zh-CN" w:bidi="ar-SA"/>
        </w:rPr>
        <w:t>附件一：开标记录表</w:t>
      </w:r>
      <w:bookmarkEnd w:id="321"/>
      <w:bookmarkEnd w:id="322"/>
    </w:p>
    <w:p>
      <w:pPr>
        <w:spacing w:before="240" w:beforeLines="100" w:beforeAutospacing="0" w:after="240" w:afterLines="100" w:afterAutospacing="0" w:line="400" w:lineRule="exact"/>
        <w:ind w:firstLine="1680" w:firstLineChars="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标段施工开标记录表</w:t>
      </w:r>
    </w:p>
    <w:p>
      <w:pPr>
        <w:spacing w:beforeAutospacing="0" w:afterAutospacing="0" w:line="40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spacing w:beforeAutospacing="0" w:afterAutospacing="0" w:line="40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u w:val="single"/>
        </w:rPr>
        <w:t xml:space="preserve">                                </w:t>
      </w:r>
    </w:p>
    <w:p>
      <w:pPr>
        <w:spacing w:beforeAutospacing="0" w:afterAutospacing="0" w:line="40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（一）唱标记录</w:t>
      </w:r>
    </w:p>
    <w:tbl>
      <w:tblPr>
        <w:tblStyle w:val="26"/>
        <w:tblW w:w="947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988"/>
        <w:gridCol w:w="1353"/>
        <w:gridCol w:w="1490"/>
        <w:gridCol w:w="1184"/>
        <w:gridCol w:w="708"/>
        <w:gridCol w:w="1018"/>
        <w:gridCol w:w="1338"/>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13" w:type="dxa"/>
            <w:noWrap w:val="0"/>
            <w:tcMar>
              <w:left w:w="28" w:type="dxa"/>
              <w:right w:w="2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88" w:type="dxa"/>
            <w:noWrap w:val="0"/>
            <w:tcMar>
              <w:left w:w="28" w:type="dxa"/>
              <w:right w:w="2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p>
        </w:tc>
        <w:tc>
          <w:tcPr>
            <w:tcW w:w="1353" w:type="dxa"/>
            <w:noWrap w:val="0"/>
            <w:tcMar>
              <w:left w:w="28" w:type="dxa"/>
              <w:right w:w="2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1490" w:type="dxa"/>
            <w:noWrap w:val="0"/>
            <w:tcMar>
              <w:left w:w="28" w:type="dxa"/>
              <w:right w:w="2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c>
          <w:tcPr>
            <w:tcW w:w="1184" w:type="dxa"/>
            <w:noWrap w:val="0"/>
            <w:tcMar>
              <w:left w:w="28" w:type="dxa"/>
              <w:right w:w="2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质量目标</w:t>
            </w:r>
          </w:p>
        </w:tc>
        <w:tc>
          <w:tcPr>
            <w:tcW w:w="708" w:type="dxa"/>
            <w:noWrap w:val="0"/>
            <w:tcMar>
              <w:left w:w="28" w:type="dxa"/>
              <w:right w:w="2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1018" w:type="dxa"/>
            <w:noWrap w:val="0"/>
            <w:tcMar>
              <w:left w:w="28" w:type="dxa"/>
              <w:right w:w="2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338" w:type="dxa"/>
            <w:noWrap w:val="0"/>
            <w:tcMar>
              <w:left w:w="28" w:type="dxa"/>
              <w:right w:w="2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投标人授权代表签名</w:t>
            </w:r>
          </w:p>
        </w:tc>
        <w:tc>
          <w:tcPr>
            <w:tcW w:w="683" w:type="dxa"/>
            <w:noWrap w:val="0"/>
            <w:tcMar>
              <w:left w:w="28" w:type="dxa"/>
              <w:right w:w="28"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3" w:type="dxa"/>
            <w:noWrap w:val="0"/>
            <w:tcMar>
              <w:left w:w="28" w:type="dxa"/>
              <w:right w:w="28" w:type="dxa"/>
            </w:tcMar>
            <w:vAlign w:val="center"/>
          </w:tcPr>
          <w:p>
            <w:pPr>
              <w:jc w:val="center"/>
              <w:rPr>
                <w:rFonts w:hint="eastAsia" w:ascii="宋体" w:hAnsi="宋体" w:eastAsia="宋体" w:cs="宋体"/>
                <w:color w:val="auto"/>
                <w:sz w:val="24"/>
                <w:szCs w:val="24"/>
                <w:highlight w:val="none"/>
              </w:rPr>
            </w:pPr>
          </w:p>
        </w:tc>
        <w:tc>
          <w:tcPr>
            <w:tcW w:w="988" w:type="dxa"/>
            <w:noWrap w:val="0"/>
            <w:tcMar>
              <w:left w:w="28" w:type="dxa"/>
              <w:right w:w="28" w:type="dxa"/>
            </w:tcMar>
            <w:vAlign w:val="center"/>
          </w:tcPr>
          <w:p>
            <w:pPr>
              <w:jc w:val="center"/>
              <w:rPr>
                <w:rFonts w:hint="eastAsia" w:ascii="宋体" w:hAnsi="宋体" w:eastAsia="宋体" w:cs="宋体"/>
                <w:color w:val="auto"/>
                <w:sz w:val="24"/>
                <w:szCs w:val="24"/>
                <w:highlight w:val="none"/>
              </w:rPr>
            </w:pPr>
          </w:p>
        </w:tc>
        <w:tc>
          <w:tcPr>
            <w:tcW w:w="1353" w:type="dxa"/>
            <w:noWrap w:val="0"/>
            <w:tcMar>
              <w:left w:w="28" w:type="dxa"/>
              <w:right w:w="28" w:type="dxa"/>
            </w:tcMar>
            <w:vAlign w:val="center"/>
          </w:tcPr>
          <w:p>
            <w:pPr>
              <w:jc w:val="center"/>
              <w:rPr>
                <w:rFonts w:hint="eastAsia" w:ascii="宋体" w:hAnsi="宋体" w:eastAsia="宋体" w:cs="宋体"/>
                <w:color w:val="auto"/>
                <w:sz w:val="24"/>
                <w:szCs w:val="24"/>
                <w:highlight w:val="none"/>
              </w:rPr>
            </w:pPr>
          </w:p>
        </w:tc>
        <w:tc>
          <w:tcPr>
            <w:tcW w:w="1490" w:type="dxa"/>
            <w:noWrap w:val="0"/>
            <w:tcMar>
              <w:left w:w="28" w:type="dxa"/>
              <w:right w:w="28" w:type="dxa"/>
            </w:tcMar>
            <w:vAlign w:val="center"/>
          </w:tcPr>
          <w:p>
            <w:pPr>
              <w:jc w:val="center"/>
              <w:rPr>
                <w:rFonts w:hint="eastAsia" w:ascii="宋体" w:hAnsi="宋体" w:eastAsia="宋体" w:cs="宋体"/>
                <w:color w:val="auto"/>
                <w:sz w:val="24"/>
                <w:szCs w:val="24"/>
                <w:highlight w:val="none"/>
              </w:rPr>
            </w:pPr>
          </w:p>
        </w:tc>
        <w:tc>
          <w:tcPr>
            <w:tcW w:w="1184" w:type="dxa"/>
            <w:noWrap w:val="0"/>
            <w:tcMar>
              <w:left w:w="28" w:type="dxa"/>
              <w:right w:w="28" w:type="dxa"/>
            </w:tcMar>
            <w:vAlign w:val="center"/>
          </w:tcPr>
          <w:p>
            <w:pPr>
              <w:jc w:val="center"/>
              <w:rPr>
                <w:rFonts w:hint="eastAsia" w:ascii="宋体" w:hAnsi="宋体" w:eastAsia="宋体" w:cs="宋体"/>
                <w:color w:val="auto"/>
                <w:sz w:val="24"/>
                <w:szCs w:val="24"/>
                <w:highlight w:val="none"/>
              </w:rPr>
            </w:pPr>
          </w:p>
        </w:tc>
        <w:tc>
          <w:tcPr>
            <w:tcW w:w="708" w:type="dxa"/>
            <w:noWrap w:val="0"/>
            <w:tcMar>
              <w:left w:w="28" w:type="dxa"/>
              <w:right w:w="28" w:type="dxa"/>
            </w:tcMar>
            <w:vAlign w:val="center"/>
          </w:tcPr>
          <w:p>
            <w:pPr>
              <w:jc w:val="center"/>
              <w:rPr>
                <w:rFonts w:hint="eastAsia" w:ascii="宋体" w:hAnsi="宋体" w:eastAsia="宋体" w:cs="宋体"/>
                <w:color w:val="auto"/>
                <w:sz w:val="24"/>
                <w:szCs w:val="24"/>
                <w:highlight w:val="none"/>
              </w:rPr>
            </w:pPr>
          </w:p>
        </w:tc>
        <w:tc>
          <w:tcPr>
            <w:tcW w:w="1018" w:type="dxa"/>
            <w:noWrap w:val="0"/>
            <w:tcMar>
              <w:left w:w="28" w:type="dxa"/>
              <w:right w:w="28" w:type="dxa"/>
            </w:tcMar>
            <w:vAlign w:val="top"/>
          </w:tcPr>
          <w:p>
            <w:pPr>
              <w:jc w:val="center"/>
              <w:rPr>
                <w:rFonts w:hint="eastAsia" w:ascii="宋体" w:hAnsi="宋体" w:eastAsia="宋体" w:cs="宋体"/>
                <w:color w:val="auto"/>
                <w:sz w:val="24"/>
                <w:szCs w:val="24"/>
                <w:highlight w:val="none"/>
              </w:rPr>
            </w:pPr>
          </w:p>
        </w:tc>
        <w:tc>
          <w:tcPr>
            <w:tcW w:w="1338" w:type="dxa"/>
            <w:noWrap w:val="0"/>
            <w:tcMar>
              <w:left w:w="28" w:type="dxa"/>
              <w:right w:w="28" w:type="dxa"/>
            </w:tcMar>
            <w:vAlign w:val="center"/>
          </w:tcPr>
          <w:p>
            <w:pPr>
              <w:jc w:val="center"/>
              <w:rPr>
                <w:rFonts w:hint="eastAsia" w:ascii="宋体" w:hAnsi="宋体" w:eastAsia="宋体" w:cs="宋体"/>
                <w:color w:val="auto"/>
                <w:sz w:val="24"/>
                <w:szCs w:val="24"/>
                <w:highlight w:val="none"/>
              </w:rPr>
            </w:pPr>
          </w:p>
        </w:tc>
        <w:tc>
          <w:tcPr>
            <w:tcW w:w="683" w:type="dxa"/>
            <w:noWrap w:val="0"/>
            <w:tcMar>
              <w:left w:w="28" w:type="dxa"/>
              <w:right w:w="28" w:type="dxa"/>
            </w:tcMar>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98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35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490"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184"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70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018" w:type="dxa"/>
            <w:noWrap w:val="0"/>
            <w:tcMar>
              <w:left w:w="28" w:type="dxa"/>
              <w:right w:w="28" w:type="dxa"/>
            </w:tcMar>
            <w:vAlign w:val="top"/>
          </w:tcPr>
          <w:p>
            <w:pPr>
              <w:spacing w:beforeAutospacing="0" w:afterAutospacing="0" w:line="400" w:lineRule="exact"/>
              <w:jc w:val="center"/>
              <w:rPr>
                <w:rFonts w:hint="eastAsia" w:ascii="宋体" w:hAnsi="宋体" w:eastAsia="宋体" w:cs="宋体"/>
                <w:color w:val="auto"/>
                <w:sz w:val="24"/>
                <w:szCs w:val="24"/>
                <w:highlight w:val="none"/>
              </w:rPr>
            </w:pPr>
          </w:p>
        </w:tc>
        <w:tc>
          <w:tcPr>
            <w:tcW w:w="133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68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98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35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490"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184"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70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018" w:type="dxa"/>
            <w:noWrap w:val="0"/>
            <w:tcMar>
              <w:left w:w="28" w:type="dxa"/>
              <w:right w:w="28" w:type="dxa"/>
            </w:tcMar>
            <w:vAlign w:val="top"/>
          </w:tcPr>
          <w:p>
            <w:pPr>
              <w:spacing w:beforeAutospacing="0" w:afterAutospacing="0" w:line="400" w:lineRule="exact"/>
              <w:jc w:val="center"/>
              <w:rPr>
                <w:rFonts w:hint="eastAsia" w:ascii="宋体" w:hAnsi="宋体" w:eastAsia="宋体" w:cs="宋体"/>
                <w:color w:val="auto"/>
                <w:sz w:val="24"/>
                <w:szCs w:val="24"/>
                <w:highlight w:val="none"/>
              </w:rPr>
            </w:pPr>
          </w:p>
        </w:tc>
        <w:tc>
          <w:tcPr>
            <w:tcW w:w="133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68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98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35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490"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184"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70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018" w:type="dxa"/>
            <w:noWrap w:val="0"/>
            <w:tcMar>
              <w:left w:w="28" w:type="dxa"/>
              <w:right w:w="28" w:type="dxa"/>
            </w:tcMar>
            <w:vAlign w:val="top"/>
          </w:tcPr>
          <w:p>
            <w:pPr>
              <w:spacing w:beforeAutospacing="0" w:afterAutospacing="0" w:line="400" w:lineRule="exact"/>
              <w:jc w:val="center"/>
              <w:rPr>
                <w:rFonts w:hint="eastAsia" w:ascii="宋体" w:hAnsi="宋体" w:eastAsia="宋体" w:cs="宋体"/>
                <w:color w:val="auto"/>
                <w:sz w:val="24"/>
                <w:szCs w:val="24"/>
                <w:highlight w:val="none"/>
              </w:rPr>
            </w:pPr>
          </w:p>
        </w:tc>
        <w:tc>
          <w:tcPr>
            <w:tcW w:w="133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68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98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35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490"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184"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70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018" w:type="dxa"/>
            <w:noWrap w:val="0"/>
            <w:tcMar>
              <w:left w:w="28" w:type="dxa"/>
              <w:right w:w="28" w:type="dxa"/>
            </w:tcMar>
            <w:vAlign w:val="top"/>
          </w:tcPr>
          <w:p>
            <w:pPr>
              <w:spacing w:beforeAutospacing="0" w:afterAutospacing="0" w:line="400" w:lineRule="exact"/>
              <w:jc w:val="center"/>
              <w:rPr>
                <w:rFonts w:hint="eastAsia" w:ascii="宋体" w:hAnsi="宋体" w:eastAsia="宋体" w:cs="宋体"/>
                <w:color w:val="auto"/>
                <w:sz w:val="24"/>
                <w:szCs w:val="24"/>
                <w:highlight w:val="none"/>
              </w:rPr>
            </w:pPr>
          </w:p>
        </w:tc>
        <w:tc>
          <w:tcPr>
            <w:tcW w:w="133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68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98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35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490"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184"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70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018" w:type="dxa"/>
            <w:noWrap w:val="0"/>
            <w:tcMar>
              <w:left w:w="28" w:type="dxa"/>
              <w:right w:w="28" w:type="dxa"/>
            </w:tcMar>
            <w:vAlign w:val="top"/>
          </w:tcPr>
          <w:p>
            <w:pPr>
              <w:spacing w:beforeAutospacing="0" w:afterAutospacing="0" w:line="400" w:lineRule="exact"/>
              <w:jc w:val="center"/>
              <w:rPr>
                <w:rFonts w:hint="eastAsia" w:ascii="宋体" w:hAnsi="宋体" w:eastAsia="宋体" w:cs="宋体"/>
                <w:color w:val="auto"/>
                <w:sz w:val="24"/>
                <w:szCs w:val="24"/>
                <w:highlight w:val="none"/>
              </w:rPr>
            </w:pPr>
          </w:p>
        </w:tc>
        <w:tc>
          <w:tcPr>
            <w:tcW w:w="133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68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98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35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490"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184"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70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018" w:type="dxa"/>
            <w:noWrap w:val="0"/>
            <w:tcMar>
              <w:left w:w="28" w:type="dxa"/>
              <w:right w:w="28" w:type="dxa"/>
            </w:tcMar>
            <w:vAlign w:val="top"/>
          </w:tcPr>
          <w:p>
            <w:pPr>
              <w:spacing w:beforeAutospacing="0" w:afterAutospacing="0" w:line="400" w:lineRule="exact"/>
              <w:jc w:val="center"/>
              <w:rPr>
                <w:rFonts w:hint="eastAsia" w:ascii="宋体" w:hAnsi="宋体" w:eastAsia="宋体" w:cs="宋体"/>
                <w:color w:val="auto"/>
                <w:sz w:val="24"/>
                <w:szCs w:val="24"/>
                <w:highlight w:val="none"/>
              </w:rPr>
            </w:pPr>
          </w:p>
        </w:tc>
        <w:tc>
          <w:tcPr>
            <w:tcW w:w="133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68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98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35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490"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184"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70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018" w:type="dxa"/>
            <w:noWrap w:val="0"/>
            <w:tcMar>
              <w:left w:w="28" w:type="dxa"/>
              <w:right w:w="28" w:type="dxa"/>
            </w:tcMar>
            <w:vAlign w:val="top"/>
          </w:tcPr>
          <w:p>
            <w:pPr>
              <w:spacing w:beforeAutospacing="0" w:afterAutospacing="0" w:line="400" w:lineRule="exact"/>
              <w:jc w:val="center"/>
              <w:rPr>
                <w:rFonts w:hint="eastAsia" w:ascii="宋体" w:hAnsi="宋体" w:eastAsia="宋体" w:cs="宋体"/>
                <w:color w:val="auto"/>
                <w:sz w:val="24"/>
                <w:szCs w:val="24"/>
                <w:highlight w:val="none"/>
              </w:rPr>
            </w:pPr>
          </w:p>
        </w:tc>
        <w:tc>
          <w:tcPr>
            <w:tcW w:w="133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68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98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35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490"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184"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70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1018" w:type="dxa"/>
            <w:noWrap w:val="0"/>
            <w:tcMar>
              <w:left w:w="28" w:type="dxa"/>
              <w:right w:w="28" w:type="dxa"/>
            </w:tcMar>
            <w:vAlign w:val="top"/>
          </w:tcPr>
          <w:p>
            <w:pPr>
              <w:spacing w:beforeAutospacing="0" w:afterAutospacing="0" w:line="400" w:lineRule="exact"/>
              <w:jc w:val="center"/>
              <w:rPr>
                <w:rFonts w:hint="eastAsia" w:ascii="宋体" w:hAnsi="宋体" w:eastAsia="宋体" w:cs="宋体"/>
                <w:color w:val="auto"/>
                <w:sz w:val="24"/>
                <w:szCs w:val="24"/>
                <w:highlight w:val="none"/>
              </w:rPr>
            </w:pPr>
          </w:p>
        </w:tc>
        <w:tc>
          <w:tcPr>
            <w:tcW w:w="1338"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c>
          <w:tcPr>
            <w:tcW w:w="683" w:type="dxa"/>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054" w:type="dxa"/>
            <w:gridSpan w:val="3"/>
            <w:noWrap w:val="0"/>
            <w:tcMar>
              <w:left w:w="28" w:type="dxa"/>
              <w:right w:w="28" w:type="dxa"/>
            </w:tcMar>
            <w:vAlign w:val="center"/>
          </w:tcPr>
          <w:p>
            <w:pPr>
              <w:spacing w:beforeAutospacing="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招标控制价（</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w:t>
            </w:r>
          </w:p>
        </w:tc>
        <w:tc>
          <w:tcPr>
            <w:tcW w:w="6421" w:type="dxa"/>
            <w:gridSpan w:val="6"/>
            <w:noWrap w:val="0"/>
            <w:vAlign w:val="top"/>
          </w:tcPr>
          <w:p>
            <w:pPr>
              <w:spacing w:beforeAutospacing="0" w:afterAutospacing="0" w:line="400" w:lineRule="exact"/>
              <w:jc w:val="center"/>
              <w:rPr>
                <w:rFonts w:hint="eastAsia" w:ascii="宋体" w:hAnsi="宋体" w:eastAsia="宋体" w:cs="宋体"/>
                <w:color w:val="auto"/>
                <w:sz w:val="24"/>
                <w:szCs w:val="24"/>
                <w:highlight w:val="none"/>
              </w:rPr>
            </w:pPr>
          </w:p>
        </w:tc>
      </w:tr>
    </w:tbl>
    <w:p>
      <w:pPr>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（二）开标过程中的其他事项记录</w:t>
      </w:r>
    </w:p>
    <w:p>
      <w:pPr>
        <w:spacing w:beforeAutospacing="0" w:afterAutospacing="0"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beforeAutospacing="0" w:afterAutospacing="0"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beforeAutospacing="0" w:afterAutospacing="0"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beforeAutospacing="0" w:afterAutospacing="0"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beforeAutospacing="0" w:afterAutospacing="0"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（三）出席开标会的单位和人员（附签到表）</w:t>
      </w:r>
    </w:p>
    <w:p>
      <w:pPr>
        <w:spacing w:beforeAutospacing="0" w:afterAutospacing="0" w:line="400" w:lineRule="exact"/>
        <w:rPr>
          <w:rFonts w:hint="eastAsia" w:ascii="宋体" w:hAnsi="宋体" w:eastAsia="宋体" w:cs="宋体"/>
          <w:color w:val="auto"/>
          <w:sz w:val="24"/>
          <w:szCs w:val="24"/>
          <w:highlight w:val="none"/>
        </w:rPr>
      </w:pPr>
    </w:p>
    <w:p>
      <w:pPr>
        <w:spacing w:beforeAutospacing="0" w:afterAutospacing="0" w:line="400" w:lineRule="exac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记录人：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监标人：</w:t>
      </w:r>
      <w:r>
        <w:rPr>
          <w:rFonts w:hint="eastAsia" w:ascii="宋体" w:hAnsi="宋体" w:eastAsia="宋体" w:cs="宋体"/>
          <w:color w:val="auto"/>
          <w:sz w:val="24"/>
          <w:szCs w:val="24"/>
          <w:highlight w:val="none"/>
          <w:u w:val="single"/>
        </w:rPr>
        <w:t xml:space="preserve">               </w:t>
      </w:r>
    </w:p>
    <w:p>
      <w:pPr>
        <w:spacing w:beforeAutospacing="0" w:afterAutospacing="0" w:line="400" w:lineRule="exact"/>
        <w:rPr>
          <w:rFonts w:hint="eastAsia" w:ascii="宋体" w:hAnsi="宋体" w:eastAsia="宋体" w:cs="宋体"/>
          <w:color w:val="auto"/>
          <w:sz w:val="24"/>
          <w:szCs w:val="24"/>
          <w:highlight w:val="none"/>
        </w:rPr>
      </w:pPr>
    </w:p>
    <w:p>
      <w:pPr>
        <w:spacing w:beforeAutospacing="0" w:afterAutospacing="0" w:line="400" w:lineRule="exact"/>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Autospacing="0" w:afterAutospacing="0" w:line="400" w:lineRule="exact"/>
        <w:ind w:firstLine="4620" w:firstLineChars="2200"/>
        <w:rPr>
          <w:rFonts w:hint="eastAsia" w:ascii="宋体" w:hAnsi="宋体" w:eastAsia="宋体" w:cs="宋体"/>
          <w:color w:val="auto"/>
          <w:highlight w:val="none"/>
        </w:rPr>
      </w:pPr>
    </w:p>
    <w:p>
      <w:pPr>
        <w:pStyle w:val="5"/>
        <w:outlineLvl w:val="1"/>
        <w:rPr>
          <w:rFonts w:hint="eastAsia" w:ascii="宋体" w:hAnsi="宋体" w:eastAsia="宋体" w:cs="宋体"/>
          <w:color w:val="auto"/>
          <w:highlight w:val="none"/>
        </w:rPr>
      </w:pPr>
      <w:bookmarkStart w:id="323" w:name="_Toc29956"/>
      <w:bookmarkEnd w:id="323"/>
      <w:bookmarkStart w:id="324" w:name="_Toc11312"/>
      <w:bookmarkEnd w:id="324"/>
    </w:p>
    <w:p>
      <w:pPr>
        <w:pStyle w:val="5"/>
        <w:outlineLvl w:val="1"/>
        <w:rPr>
          <w:rFonts w:hint="eastAsia" w:ascii="宋体" w:hAnsi="宋体" w:eastAsia="宋体" w:cs="宋体"/>
          <w:color w:val="auto"/>
          <w:highlight w:val="none"/>
        </w:rPr>
      </w:pPr>
      <w:bookmarkStart w:id="325" w:name="_Toc26268"/>
      <w:bookmarkStart w:id="326" w:name="_Toc8490"/>
      <w:r>
        <w:rPr>
          <w:rFonts w:hint="eastAsia" w:ascii="宋体" w:hAnsi="宋体" w:eastAsia="宋体" w:cs="宋体"/>
          <w:color w:val="auto"/>
          <w:highlight w:val="none"/>
        </w:rPr>
        <w:t>附件二：问题澄清通知</w:t>
      </w:r>
      <w:bookmarkEnd w:id="325"/>
      <w:bookmarkEnd w:id="326"/>
    </w:p>
    <w:p>
      <w:pPr>
        <w:spacing w:before="240" w:beforeLines="100" w:beforeAutospacing="0" w:after="240" w:afterLines="100" w:afterAutospacing="0"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 题 澄 清 通 知</w:t>
      </w:r>
    </w:p>
    <w:p>
      <w:pPr>
        <w:spacing w:beforeAutospacing="0" w:afterAutospacing="0" w:line="400" w:lineRule="exact"/>
        <w:ind w:firstLine="6120" w:firstLineChars="25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p>
    <w:p>
      <w:pPr>
        <w:spacing w:beforeAutospacing="0" w:afterAutospacing="0" w:line="480" w:lineRule="exact"/>
        <w:rPr>
          <w:rFonts w:hint="eastAsia" w:ascii="宋体" w:hAnsi="宋体" w:eastAsia="宋体" w:cs="宋体"/>
          <w:color w:val="auto"/>
          <w:sz w:val="24"/>
          <w:szCs w:val="24"/>
          <w:highlight w:val="none"/>
          <w:u w:val="single"/>
        </w:rPr>
      </w:pPr>
    </w:p>
    <w:p>
      <w:pPr>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w:t>
      </w:r>
    </w:p>
    <w:p>
      <w:pPr>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标段施工招标的评标委员会，对你方的投标文件进行了仔细的审查，现需你方于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分前对以下问题予以澄清、说明或者补正：</w:t>
      </w:r>
    </w:p>
    <w:p>
      <w:pPr>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spacing w:beforeAutospacing="0" w:afterAutospacing="0" w:line="360" w:lineRule="auto"/>
        <w:rPr>
          <w:rFonts w:hint="eastAsia" w:ascii="宋体" w:hAnsi="宋体" w:eastAsia="宋体" w:cs="宋体"/>
          <w:color w:val="auto"/>
          <w:sz w:val="24"/>
          <w:szCs w:val="24"/>
          <w:highlight w:val="none"/>
        </w:rPr>
      </w:pPr>
    </w:p>
    <w:p>
      <w:pPr>
        <w:spacing w:beforeAutospacing="0" w:afterAutospacing="0" w:line="360" w:lineRule="auto"/>
        <w:rPr>
          <w:rFonts w:hint="eastAsia" w:ascii="宋体" w:hAnsi="宋体" w:eastAsia="宋体" w:cs="宋体"/>
          <w:color w:val="auto"/>
          <w:sz w:val="24"/>
          <w:szCs w:val="24"/>
          <w:highlight w:val="none"/>
        </w:rPr>
      </w:pPr>
    </w:p>
    <w:p>
      <w:pPr>
        <w:spacing w:beforeAutospacing="0" w:afterAutospacing="0" w:line="360" w:lineRule="auto"/>
        <w:rPr>
          <w:rFonts w:hint="eastAsia" w:ascii="宋体" w:hAnsi="宋体" w:eastAsia="宋体" w:cs="宋体"/>
          <w:color w:val="auto"/>
          <w:sz w:val="24"/>
          <w:szCs w:val="24"/>
          <w:highlight w:val="none"/>
        </w:rPr>
      </w:pPr>
    </w:p>
    <w:p>
      <w:pPr>
        <w:spacing w:beforeAutospacing="0" w:afterAutospacing="0" w:line="360" w:lineRule="auto"/>
        <w:rPr>
          <w:rFonts w:hint="eastAsia" w:ascii="宋体" w:hAnsi="宋体" w:eastAsia="宋体" w:cs="宋体"/>
          <w:color w:val="auto"/>
          <w:sz w:val="24"/>
          <w:szCs w:val="24"/>
          <w:highlight w:val="none"/>
        </w:rPr>
      </w:pPr>
    </w:p>
    <w:p>
      <w:pPr>
        <w:spacing w:beforeAutospacing="0" w:afterAutospacing="0" w:line="360" w:lineRule="auto"/>
        <w:rPr>
          <w:rFonts w:hint="eastAsia" w:ascii="宋体" w:hAnsi="宋体" w:eastAsia="宋体" w:cs="宋体"/>
          <w:color w:val="auto"/>
          <w:sz w:val="24"/>
          <w:szCs w:val="24"/>
          <w:highlight w:val="none"/>
        </w:rPr>
      </w:pPr>
    </w:p>
    <w:p>
      <w:pPr>
        <w:spacing w:beforeAutospacing="0" w:afterAutospacing="0"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标段施工招标评标委员会 </w:t>
      </w:r>
    </w:p>
    <w:p>
      <w:pPr>
        <w:spacing w:beforeAutospacing="0" w:afterAutospacing="0" w:line="36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Autospacing="0" w:afterAutospacing="0" w:line="360" w:lineRule="auto"/>
        <w:rPr>
          <w:rFonts w:hint="eastAsia" w:ascii="宋体" w:hAnsi="宋体" w:eastAsia="宋体" w:cs="宋体"/>
          <w:color w:val="auto"/>
          <w:highlight w:val="none"/>
        </w:rPr>
      </w:pPr>
    </w:p>
    <w:p>
      <w:pPr>
        <w:spacing w:beforeAutospacing="0" w:afterAutospacing="0" w:line="360" w:lineRule="auto"/>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5"/>
        <w:outlineLvl w:val="1"/>
        <w:rPr>
          <w:rFonts w:hint="eastAsia" w:ascii="宋体" w:hAnsi="宋体" w:eastAsia="宋体" w:cs="宋体"/>
          <w:color w:val="auto"/>
          <w:highlight w:val="none"/>
        </w:rPr>
      </w:pPr>
      <w:bookmarkStart w:id="327" w:name="_Toc18196"/>
      <w:bookmarkEnd w:id="327"/>
      <w:bookmarkStart w:id="328" w:name="_Toc25156"/>
      <w:bookmarkEnd w:id="328"/>
      <w:bookmarkStart w:id="329" w:name="_Toc27187"/>
      <w:bookmarkStart w:id="330" w:name="_Toc457"/>
      <w:r>
        <w:rPr>
          <w:rFonts w:hint="eastAsia" w:ascii="宋体" w:hAnsi="宋体" w:eastAsia="宋体" w:cs="宋体"/>
          <w:color w:val="auto"/>
          <w:highlight w:val="none"/>
        </w:rPr>
        <w:t>附件三：问题的澄清</w:t>
      </w:r>
      <w:bookmarkEnd w:id="329"/>
      <w:bookmarkEnd w:id="330"/>
    </w:p>
    <w:p>
      <w:pPr>
        <w:spacing w:before="240" w:beforeLines="100" w:beforeAutospacing="0" w:after="240" w:afterLines="100" w:afterAutospacing="0"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问题的澄清、说明或补正</w:t>
      </w:r>
    </w:p>
    <w:p>
      <w:pPr>
        <w:spacing w:beforeAutospacing="0" w:afterAutospacing="0" w:line="400" w:lineRule="exact"/>
        <w:ind w:firstLine="6120" w:firstLineChars="25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p>
    <w:p>
      <w:pPr>
        <w:spacing w:beforeAutospacing="0" w:afterAutospacing="0" w:line="480" w:lineRule="exact"/>
        <w:rPr>
          <w:rFonts w:hint="eastAsia" w:ascii="宋体" w:hAnsi="宋体" w:eastAsia="宋体" w:cs="宋体"/>
          <w:color w:val="auto"/>
          <w:sz w:val="24"/>
          <w:szCs w:val="24"/>
          <w:highlight w:val="none"/>
        </w:rPr>
      </w:pPr>
    </w:p>
    <w:p>
      <w:pPr>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标段施工招标评标委员会：</w:t>
      </w:r>
    </w:p>
    <w:p>
      <w:pPr>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问题澄清通知（编号：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）已收悉，现澄清、说明或者补正如下：</w:t>
      </w:r>
    </w:p>
    <w:p>
      <w:pPr>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beforeAutospacing="0" w:afterAutospacing="0" w:line="360" w:lineRule="auto"/>
        <w:ind w:firstLine="480" w:firstLineChars="200"/>
        <w:rPr>
          <w:rFonts w:hint="eastAsia" w:ascii="宋体" w:hAnsi="宋体" w:eastAsia="宋体" w:cs="宋体"/>
          <w:color w:val="auto"/>
          <w:sz w:val="24"/>
          <w:szCs w:val="24"/>
          <w:highlight w:val="none"/>
        </w:rPr>
      </w:pPr>
    </w:p>
    <w:p>
      <w:pPr>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beforeAutospacing="0" w:afterAutospacing="0" w:line="360" w:lineRule="auto"/>
        <w:ind w:firstLine="480" w:firstLineChars="200"/>
        <w:rPr>
          <w:rFonts w:hint="eastAsia" w:ascii="宋体" w:hAnsi="宋体" w:eastAsia="宋体" w:cs="宋体"/>
          <w:color w:val="auto"/>
          <w:sz w:val="24"/>
          <w:szCs w:val="24"/>
          <w:highlight w:val="none"/>
        </w:rPr>
      </w:pPr>
    </w:p>
    <w:p>
      <w:pPr>
        <w:spacing w:beforeAutospacing="0" w:afterAutospacing="0" w:line="360" w:lineRule="auto"/>
        <w:ind w:firstLine="480" w:firstLineChars="200"/>
        <w:rPr>
          <w:rFonts w:hint="eastAsia" w:ascii="宋体" w:hAnsi="宋体" w:eastAsia="宋体" w:cs="宋体"/>
          <w:color w:val="auto"/>
          <w:sz w:val="24"/>
          <w:szCs w:val="24"/>
          <w:highlight w:val="none"/>
        </w:rPr>
      </w:pPr>
    </w:p>
    <w:p>
      <w:pPr>
        <w:spacing w:beforeAutospacing="0" w:afterAutospacing="0" w:line="360" w:lineRule="auto"/>
        <w:ind w:firstLine="480" w:firstLineChars="200"/>
        <w:rPr>
          <w:rFonts w:hint="eastAsia" w:ascii="宋体" w:hAnsi="宋体" w:eastAsia="宋体" w:cs="宋体"/>
          <w:color w:val="auto"/>
          <w:sz w:val="24"/>
          <w:szCs w:val="24"/>
          <w:highlight w:val="none"/>
        </w:rPr>
      </w:pPr>
    </w:p>
    <w:p>
      <w:pPr>
        <w:spacing w:beforeAutospacing="0" w:afterAutospacing="0" w:line="360" w:lineRule="auto"/>
        <w:ind w:firstLine="480" w:firstLineChars="200"/>
        <w:rPr>
          <w:rFonts w:hint="eastAsia" w:ascii="宋体" w:hAnsi="宋体" w:eastAsia="宋体" w:cs="宋体"/>
          <w:color w:val="auto"/>
          <w:sz w:val="24"/>
          <w:szCs w:val="24"/>
          <w:highlight w:val="none"/>
        </w:rPr>
      </w:pPr>
    </w:p>
    <w:p>
      <w:pPr>
        <w:wordWrap w:val="0"/>
        <w:spacing w:beforeAutospacing="0" w:afterAutospacing="0"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（盖单位电子签章） </w:t>
      </w:r>
    </w:p>
    <w:p>
      <w:pPr>
        <w:wordWrap w:val="0"/>
        <w:spacing w:before="120" w:beforeLines="50" w:beforeAutospacing="0" w:after="120" w:afterLines="50" w:afterAutospacing="0" w:line="360" w:lineRule="auto"/>
        <w:ind w:right="2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pPr>
        <w:spacing w:beforeAutospacing="0" w:afterAutospacing="0"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beforeAutospacing="0" w:afterAutospacing="0" w:line="360" w:lineRule="auto"/>
        <w:jc w:val="center"/>
        <w:outlineLvl w:val="0"/>
        <w:rPr>
          <w:rFonts w:hint="eastAsia" w:ascii="宋体" w:hAnsi="宋体" w:eastAsia="宋体" w:cs="宋体"/>
          <w:b/>
          <w:color w:val="auto"/>
          <w:sz w:val="32"/>
          <w:szCs w:val="32"/>
          <w:highlight w:val="none"/>
          <w:lang w:val="zh-CN"/>
        </w:rPr>
        <w:sectPr>
          <w:pgSz w:w="11907" w:h="16840"/>
          <w:pgMar w:top="1417" w:right="1417" w:bottom="1418" w:left="1417" w:header="851" w:footer="851" w:gutter="0"/>
          <w:pgNumType w:fmt="decimal"/>
          <w:cols w:space="720" w:num="1"/>
          <w:docGrid w:linePitch="312" w:charSpace="0"/>
        </w:sectPr>
      </w:pPr>
      <w:bookmarkStart w:id="331" w:name="_Toc8645"/>
      <w:bookmarkStart w:id="332" w:name="_Toc516822648"/>
      <w:bookmarkStart w:id="333" w:name="_Toc7615"/>
    </w:p>
    <w:p>
      <w:pPr>
        <w:pStyle w:val="4"/>
        <w:bidi w:val="0"/>
        <w:spacing w:before="0" w:beforeAutospacing="0" w:after="0" w:afterAutospacing="0" w:line="240" w:lineRule="auto"/>
        <w:jc w:val="center"/>
        <w:outlineLvl w:val="0"/>
        <w:rPr>
          <w:rFonts w:hint="eastAsia" w:ascii="宋体" w:hAnsi="宋体" w:eastAsia="宋体" w:cs="宋体"/>
          <w:sz w:val="36"/>
          <w:szCs w:val="36"/>
          <w:lang w:eastAsia="zh-CN"/>
        </w:rPr>
      </w:pPr>
      <w:bookmarkStart w:id="334" w:name="_Toc28977"/>
      <w:bookmarkEnd w:id="334"/>
      <w:bookmarkStart w:id="335" w:name="_Toc23390"/>
      <w:bookmarkEnd w:id="335"/>
      <w:bookmarkStart w:id="336" w:name="_Toc23826"/>
      <w:r>
        <w:rPr>
          <w:rFonts w:hint="eastAsia" w:ascii="宋体" w:hAnsi="宋体" w:eastAsia="宋体" w:cs="宋体"/>
          <w:sz w:val="36"/>
          <w:szCs w:val="36"/>
          <w:lang w:val="zh-CN" w:eastAsia="zh-CN"/>
        </w:rPr>
        <w:t>第三章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评标办法</w:t>
      </w:r>
      <w:bookmarkEnd w:id="336"/>
    </w:p>
    <w:bookmarkEnd w:id="331"/>
    <w:bookmarkEnd w:id="332"/>
    <w:bookmarkEnd w:id="333"/>
    <w:p>
      <w:pPr>
        <w:pStyle w:val="6"/>
        <w:jc w:val="center"/>
        <w:rPr>
          <w:rFonts w:hint="eastAsia" w:ascii="宋体" w:hAnsi="宋体" w:eastAsia="宋体" w:cs="宋体"/>
          <w:color w:val="auto"/>
          <w:sz w:val="24"/>
          <w:szCs w:val="24"/>
          <w:highlight w:val="none"/>
        </w:rPr>
      </w:pPr>
      <w:bookmarkStart w:id="337" w:name="_Toc31872"/>
      <w:bookmarkEnd w:id="337"/>
      <w:bookmarkStart w:id="338" w:name="_Toc28035"/>
      <w:bookmarkEnd w:id="338"/>
      <w:bookmarkStart w:id="339" w:name="_Toc11943"/>
      <w:bookmarkEnd w:id="339"/>
      <w:bookmarkStart w:id="340" w:name="_Toc10378"/>
      <w:bookmarkEnd w:id="340"/>
      <w:bookmarkStart w:id="341" w:name="_Toc15958"/>
      <w:bookmarkStart w:id="342" w:name="_Toc21143"/>
      <w:bookmarkStart w:id="343" w:name="_Toc28920"/>
      <w:r>
        <w:rPr>
          <w:rFonts w:hint="eastAsia" w:ascii="宋体" w:hAnsi="宋体" w:eastAsia="宋体" w:cs="宋体"/>
          <w:color w:val="auto"/>
          <w:sz w:val="24"/>
          <w:szCs w:val="24"/>
          <w:highlight w:val="none"/>
        </w:rPr>
        <w:t>评标办法前附表（综合评估法）</w:t>
      </w:r>
      <w:bookmarkEnd w:id="341"/>
      <w:bookmarkEnd w:id="342"/>
      <w:bookmarkEnd w:id="343"/>
    </w:p>
    <w:tbl>
      <w:tblPr>
        <w:tblStyle w:val="26"/>
        <w:tblW w:w="10338"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04"/>
        <w:gridCol w:w="80"/>
        <w:gridCol w:w="1873"/>
        <w:gridCol w:w="6"/>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87" w:type="dxa"/>
            <w:gridSpan w:val="2"/>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83" w:type="dxa"/>
            <w:vMerge w:val="restart"/>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1104" w:type="dxa"/>
            <w:vMerge w:val="restart"/>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形式评审标准</w:t>
            </w: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w:t>
            </w:r>
            <w:r>
              <w:rPr>
                <w:rFonts w:hint="eastAsia" w:ascii="宋体" w:hAnsi="宋体" w:eastAsia="宋体" w:cs="宋体"/>
                <w:color w:val="auto"/>
                <w:sz w:val="24"/>
                <w:szCs w:val="24"/>
                <w:highlight w:val="none"/>
                <w:lang w:eastAsia="zh-CN"/>
              </w:rPr>
              <w:t>、资质证书、安全生产许可证</w:t>
            </w:r>
            <w:r>
              <w:rPr>
                <w:rFonts w:hint="eastAsia" w:ascii="宋体" w:hAnsi="宋体" w:eastAsia="宋体" w:cs="宋体"/>
                <w:color w:val="auto"/>
                <w:sz w:val="24"/>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eastAsia="zh-CN"/>
              </w:rPr>
              <w:t>文件</w:t>
            </w:r>
          </w:p>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有法定代表人或其委托代理人签名并加盖单位签章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3" w:type="dxa"/>
            <w:vMerge w:val="restart"/>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104" w:type="dxa"/>
            <w:vMerge w:val="restart"/>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19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lang w:val="zh-CN"/>
              </w:rPr>
              <w:t>（专门面向中小企业适用）</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eastAsia="zh-CN"/>
              </w:rPr>
              <w:t>（如有）</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rPr>
              <w:t>其他要求</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符合</w:t>
            </w:r>
            <w:r>
              <w:rPr>
                <w:rFonts w:hint="eastAsia" w:ascii="宋体" w:hAnsi="宋体" w:cs="宋体"/>
                <w:color w:val="000000"/>
                <w:sz w:val="24"/>
                <w:szCs w:val="24"/>
                <w:lang w:eastAsia="zh-CN"/>
              </w:rPr>
              <w:t>招标文件</w:t>
            </w:r>
            <w:r>
              <w:rPr>
                <w:rFonts w:hint="eastAsia" w:ascii="宋体" w:hAnsi="宋体" w:eastAsia="宋体" w:cs="宋体"/>
                <w:color w:val="000000"/>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87" w:type="dxa"/>
            <w:gridSpan w:val="2"/>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3" w:type="dxa"/>
            <w:vMerge w:val="restart"/>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104" w:type="dxa"/>
            <w:vMerge w:val="restart"/>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响应性评审</w:t>
            </w:r>
          </w:p>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工期</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质量</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报</w:t>
            </w:r>
            <w:r>
              <w:rPr>
                <w:rFonts w:hint="eastAsia" w:ascii="宋体" w:hAnsi="宋体" w:eastAsia="宋体" w:cs="宋体"/>
                <w:color w:val="auto"/>
                <w:sz w:val="24"/>
                <w:szCs w:val="24"/>
                <w:highlight w:val="none"/>
              </w:rPr>
              <w:t>价</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低于（含等于）</w:t>
            </w:r>
            <w:r>
              <w:rPr>
                <w:rFonts w:hint="eastAsia" w:ascii="宋体" w:hAnsi="宋体" w:eastAsia="宋体" w:cs="宋体"/>
                <w:b w:val="0"/>
                <w:bCs w:val="0"/>
                <w:color w:val="auto"/>
                <w:sz w:val="24"/>
                <w:szCs w:val="24"/>
                <w:highlight w:val="none"/>
                <w:lang w:eastAsia="zh-CN"/>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104"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rPr>
            </w:pPr>
          </w:p>
        </w:tc>
        <w:tc>
          <w:tcPr>
            <w:tcW w:w="1959" w:type="dxa"/>
            <w:gridSpan w:val="3"/>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其他要求</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是否存在废标条件，详见附件B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83" w:type="dxa"/>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条款号</w:t>
            </w:r>
          </w:p>
        </w:tc>
        <w:tc>
          <w:tcPr>
            <w:tcW w:w="3063" w:type="dxa"/>
            <w:gridSpan w:val="4"/>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条款内容</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083" w:type="dxa"/>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2.2.1</w:t>
            </w:r>
          </w:p>
        </w:tc>
        <w:tc>
          <w:tcPr>
            <w:tcW w:w="3063" w:type="dxa"/>
            <w:gridSpan w:val="4"/>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分值构成</w:t>
            </w:r>
          </w:p>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（总分100分）</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技术标：</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35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分</w:t>
            </w:r>
          </w:p>
          <w:p>
            <w:pPr>
              <w:keepNext w:val="0"/>
              <w:keepLines w:val="0"/>
              <w:pageBreakBefore w:val="0"/>
              <w:kinsoku/>
              <w:overflowPunct/>
              <w:topLinePunct w:val="0"/>
              <w:bidi w:val="0"/>
              <w:adjustRightInd/>
              <w:spacing w:beforeAutospacing="0" w:afterAutospacing="0" w:line="5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商务标：</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50</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分</w:t>
            </w:r>
          </w:p>
          <w:p>
            <w:pPr>
              <w:keepNext w:val="0"/>
              <w:keepLines w:val="0"/>
              <w:pageBreakBefore w:val="0"/>
              <w:kinsoku/>
              <w:overflowPunct/>
              <w:topLinePunct w:val="0"/>
              <w:bidi w:val="0"/>
              <w:adjustRightInd/>
              <w:spacing w:beforeAutospacing="0" w:afterAutospacing="0" w:line="500" w:lineRule="exact"/>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综合标：</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15</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0" w:hRule="atLeast"/>
        </w:trPr>
        <w:tc>
          <w:tcPr>
            <w:tcW w:w="1083" w:type="dxa"/>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2.2.2</w:t>
            </w:r>
          </w:p>
        </w:tc>
        <w:tc>
          <w:tcPr>
            <w:tcW w:w="3063" w:type="dxa"/>
            <w:gridSpan w:val="4"/>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评标基准价</w:t>
            </w:r>
          </w:p>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计算方法</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（1）若投标人的评标价在</w:t>
            </w:r>
            <w:r>
              <w:rPr>
                <w:rFonts w:hint="eastAsia" w:ascii="宋体" w:hAnsi="宋体" w:eastAsia="宋体" w:cs="宋体"/>
                <w:sz w:val="24"/>
                <w:szCs w:val="24"/>
                <w:lang w:val="en-US" w:eastAsia="zh-CN"/>
              </w:rPr>
              <w:t>A值</w:t>
            </w:r>
            <w:r>
              <w:rPr>
                <w:rFonts w:hint="eastAsia" w:ascii="宋体" w:hAnsi="宋体" w:eastAsia="宋体" w:cs="宋体"/>
                <w:sz w:val="24"/>
                <w:szCs w:val="24"/>
              </w:rPr>
              <w:t>的100%-95%（含100%与95%）之间的均参与评标基准价的计算。低于</w:t>
            </w:r>
            <w:r>
              <w:rPr>
                <w:rFonts w:hint="eastAsia" w:ascii="宋体" w:hAnsi="宋体" w:eastAsia="宋体" w:cs="宋体"/>
                <w:sz w:val="24"/>
                <w:szCs w:val="24"/>
                <w:lang w:val="en-US" w:eastAsia="zh-CN"/>
              </w:rPr>
              <w:t>A值</w:t>
            </w:r>
            <w:r>
              <w:rPr>
                <w:rFonts w:hint="eastAsia" w:ascii="宋体" w:hAnsi="宋体" w:eastAsia="宋体" w:cs="宋体"/>
                <w:sz w:val="24"/>
                <w:szCs w:val="24"/>
              </w:rPr>
              <w:t>95%不参与评标基准价的计算，但仍计算报价得分。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（2）本标段</w:t>
            </w:r>
            <w:r>
              <w:rPr>
                <w:rFonts w:hint="eastAsia" w:ascii="宋体" w:hAnsi="宋体" w:eastAsia="宋体" w:cs="宋体"/>
                <w:sz w:val="24"/>
                <w:szCs w:val="24"/>
                <w:lang w:val="en-US" w:eastAsia="zh-CN"/>
              </w:rPr>
              <w:t>A值</w:t>
            </w:r>
            <w:r>
              <w:rPr>
                <w:rFonts w:hint="eastAsia" w:ascii="宋体" w:hAnsi="宋体" w:eastAsia="宋体" w:cs="宋体"/>
                <w:sz w:val="24"/>
                <w:szCs w:val="24"/>
              </w:rPr>
              <w:t>与参与评标基准价计算的投标人的评标价的算术平均值进行再平均，所得值为评标基准价。即：   C=（A＋B）÷2</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）若</w:t>
            </w:r>
            <w:r>
              <w:rPr>
                <w:rFonts w:hint="eastAsia" w:ascii="宋体" w:hAnsi="宋体" w:eastAsia="宋体" w:cs="宋体"/>
                <w:sz w:val="24"/>
                <w:szCs w:val="24"/>
              </w:rPr>
              <w:t>所有投标人的评标价均未进入A值的100％（包括100％）至95％（包括95％）范围，则</w:t>
            </w:r>
            <w:r>
              <w:rPr>
                <w:rFonts w:hint="eastAsia" w:ascii="宋体" w:hAnsi="宋体" w:eastAsia="宋体" w:cs="宋体"/>
                <w:sz w:val="24"/>
                <w:szCs w:val="24"/>
                <w:lang w:val="en-US" w:eastAsia="zh-CN"/>
              </w:rPr>
              <w:t>C</w:t>
            </w:r>
            <w:r>
              <w:rPr>
                <w:rFonts w:hint="eastAsia" w:ascii="宋体" w:hAnsi="宋体" w:eastAsia="宋体" w:cs="宋体"/>
                <w:sz w:val="24"/>
                <w:szCs w:val="24"/>
              </w:rPr>
              <w:t>值取A值的97.5％来计算评标基准价。</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其中</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A</w:t>
            </w:r>
            <w:r>
              <w:rPr>
                <w:rFonts w:hint="eastAsia" w:ascii="宋体" w:hAnsi="宋体" w:eastAsia="宋体" w:cs="宋体"/>
                <w:b/>
                <w:bCs/>
                <w:sz w:val="24"/>
                <w:szCs w:val="24"/>
                <w:lang w:eastAsia="zh-CN"/>
              </w:rPr>
              <w:t>值：</w:t>
            </w:r>
            <w:r>
              <w:rPr>
                <w:rFonts w:hint="eastAsia" w:ascii="宋体" w:hAnsi="宋体" w:eastAsia="宋体" w:cs="宋体"/>
                <w:sz w:val="24"/>
                <w:szCs w:val="24"/>
              </w:rPr>
              <w:t>招标控制价—安全文明施工措施费—规费—税金；</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B</w:t>
            </w:r>
            <w:r>
              <w:rPr>
                <w:rFonts w:hint="eastAsia" w:ascii="宋体" w:hAnsi="宋体" w:eastAsia="宋体" w:cs="宋体"/>
                <w:b/>
                <w:bCs/>
                <w:sz w:val="24"/>
                <w:szCs w:val="24"/>
                <w:lang w:eastAsia="zh-CN"/>
              </w:rPr>
              <w:t>值：</w:t>
            </w:r>
            <w:r>
              <w:rPr>
                <w:rFonts w:hint="eastAsia" w:ascii="宋体" w:hAnsi="宋体" w:eastAsia="宋体" w:cs="宋体"/>
                <w:sz w:val="24"/>
                <w:szCs w:val="24"/>
              </w:rPr>
              <w:t>投标人的评标价在A值的100％（包括100％）至95％（包括95％）范围内的算术平均值；</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rPr>
              <w:t>C</w:t>
            </w:r>
            <w:r>
              <w:rPr>
                <w:rFonts w:hint="eastAsia" w:ascii="宋体" w:hAnsi="宋体" w:eastAsia="宋体" w:cs="宋体"/>
                <w:b/>
                <w:bCs/>
                <w:sz w:val="24"/>
                <w:szCs w:val="24"/>
                <w:lang w:eastAsia="zh-CN"/>
              </w:rPr>
              <w:t>值：</w:t>
            </w:r>
            <w:r>
              <w:rPr>
                <w:rFonts w:hint="eastAsia" w:ascii="宋体" w:hAnsi="宋体" w:eastAsia="宋体" w:cs="宋体"/>
                <w:sz w:val="24"/>
                <w:szCs w:val="24"/>
              </w:rPr>
              <w:t>评标基准价</w:t>
            </w:r>
            <w:r>
              <w:rPr>
                <w:rFonts w:hint="eastAsia" w:ascii="宋体" w:hAnsi="宋体" w:eastAsia="宋体" w:cs="宋体"/>
                <w:sz w:val="24"/>
                <w:szCs w:val="24"/>
                <w:lang w:eastAsia="zh-CN"/>
              </w:rPr>
              <w:t>；</w:t>
            </w:r>
          </w:p>
          <w:p>
            <w:pPr>
              <w:keepNext w:val="0"/>
              <w:keepLines w:val="0"/>
              <w:pageBreakBefore w:val="0"/>
              <w:widowControl w:val="0"/>
              <w:kinsoku/>
              <w:overflowPunct/>
              <w:topLinePunct w:val="0"/>
              <w:bidi w:val="0"/>
              <w:spacing w:beforeAutospacing="0" w:afterAutospacing="0" w:line="500" w:lineRule="exact"/>
              <w:jc w:val="left"/>
              <w:outlineLvl w:val="9"/>
              <w:rPr>
                <w:rFonts w:hint="eastAsia" w:ascii="宋体" w:hAnsi="宋体" w:eastAsia="宋体" w:cs="宋体"/>
                <w:color w:val="000000"/>
                <w:spacing w:val="1"/>
                <w:kern w:val="0"/>
                <w:sz w:val="24"/>
                <w:szCs w:val="24"/>
                <w:highlight w:val="none"/>
                <w:lang w:val="en-US" w:eastAsia="zh-CN" w:bidi="ar-SA"/>
              </w:rPr>
            </w:pPr>
            <w:r>
              <w:rPr>
                <w:rFonts w:hint="eastAsia" w:ascii="宋体" w:hAnsi="宋体" w:eastAsia="宋体" w:cs="宋体"/>
                <w:b/>
                <w:bCs/>
                <w:sz w:val="24"/>
                <w:szCs w:val="24"/>
              </w:rPr>
              <w:t>投标人的评标价</w:t>
            </w:r>
            <w:r>
              <w:rPr>
                <w:rFonts w:hint="eastAsia" w:ascii="宋体" w:hAnsi="宋体" w:eastAsia="宋体" w:cs="宋体"/>
                <w:b/>
                <w:bCs/>
                <w:sz w:val="24"/>
                <w:szCs w:val="24"/>
                <w:lang w:eastAsia="zh-CN"/>
              </w:rPr>
              <w:t>：</w:t>
            </w:r>
            <w:r>
              <w:rPr>
                <w:rFonts w:hint="eastAsia" w:ascii="宋体" w:hAnsi="宋体" w:eastAsia="宋体" w:cs="宋体"/>
                <w:sz w:val="24"/>
                <w:szCs w:val="24"/>
              </w:rPr>
              <w:t>投标总报价—安全文明施工措施费—规费—税金</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83" w:type="dxa"/>
            <w:noWrap w:val="0"/>
            <w:vAlign w:val="center"/>
          </w:tcPr>
          <w:p>
            <w:pPr>
              <w:keepNext w:val="0"/>
              <w:keepLines w:val="0"/>
              <w:pageBreakBefore w:val="0"/>
              <w:widowControl w:val="0"/>
              <w:kinsoku/>
              <w:overflowPunct/>
              <w:topLinePunct w:val="0"/>
              <w:bidi w:val="0"/>
              <w:spacing w:beforeAutospacing="0" w:afterAutospacing="0" w:line="500" w:lineRule="exact"/>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2.2.3</w:t>
            </w:r>
          </w:p>
        </w:tc>
        <w:tc>
          <w:tcPr>
            <w:tcW w:w="3063" w:type="dxa"/>
            <w:gridSpan w:val="4"/>
            <w:noWrap w:val="0"/>
            <w:vAlign w:val="center"/>
          </w:tcPr>
          <w:p>
            <w:pPr>
              <w:keepNext w:val="0"/>
              <w:keepLines w:val="0"/>
              <w:pageBreakBefore w:val="0"/>
              <w:widowControl w:val="0"/>
              <w:kinsoku/>
              <w:overflowPunct/>
              <w:topLinePunct w:val="0"/>
              <w:bidi w:val="0"/>
              <w:spacing w:beforeAutospacing="0" w:afterAutospacing="0"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投标报价的偏差</w:t>
            </w:r>
          </w:p>
          <w:p>
            <w:pPr>
              <w:keepNext w:val="0"/>
              <w:keepLines w:val="0"/>
              <w:pageBreakBefore w:val="0"/>
              <w:widowControl w:val="0"/>
              <w:kinsoku/>
              <w:overflowPunct/>
              <w:topLinePunct w:val="0"/>
              <w:bidi w:val="0"/>
              <w:spacing w:beforeAutospacing="0" w:afterAutospacing="0" w:line="500" w:lineRule="exact"/>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计算公式</w:t>
            </w:r>
          </w:p>
        </w:tc>
        <w:tc>
          <w:tcPr>
            <w:tcW w:w="6192" w:type="dxa"/>
            <w:noWrap w:val="0"/>
            <w:vAlign w:val="center"/>
          </w:tcPr>
          <w:p>
            <w:pPr>
              <w:keepNext w:val="0"/>
              <w:keepLines w:val="0"/>
              <w:pageBreakBefore w:val="0"/>
              <w:widowControl w:val="0"/>
              <w:kinsoku/>
              <w:overflowPunct/>
              <w:topLinePunct w:val="0"/>
              <w:bidi w:val="0"/>
              <w:spacing w:beforeAutospacing="0" w:afterAutospacing="0" w:line="500" w:lineRule="exact"/>
              <w:jc w:val="center"/>
              <w:outlineLvl w:val="9"/>
              <w:rPr>
                <w:rFonts w:hint="eastAsia" w:ascii="宋体" w:hAnsi="宋体" w:eastAsia="宋体" w:cs="宋体"/>
                <w:sz w:val="24"/>
                <w:szCs w:val="24"/>
              </w:rPr>
            </w:pPr>
            <w:r>
              <w:rPr>
                <w:rFonts w:hint="eastAsia" w:ascii="宋体" w:hAnsi="宋体" w:eastAsia="宋体" w:cs="宋体"/>
                <w:sz w:val="24"/>
                <w:szCs w:val="24"/>
              </w:rPr>
              <w:t>偏差率=100% ×（投标人评标价 - 评标基准价）/</w:t>
            </w:r>
          </w:p>
          <w:p>
            <w:pPr>
              <w:keepNext w:val="0"/>
              <w:keepLines w:val="0"/>
              <w:pageBreakBefore w:val="0"/>
              <w:widowControl w:val="0"/>
              <w:kinsoku/>
              <w:overflowPunct/>
              <w:topLinePunct w:val="0"/>
              <w:bidi w:val="0"/>
              <w:spacing w:beforeAutospacing="0" w:afterAutospacing="0" w:line="500" w:lineRule="exact"/>
              <w:jc w:val="center"/>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83" w:type="dxa"/>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条款号</w:t>
            </w:r>
          </w:p>
        </w:tc>
        <w:tc>
          <w:tcPr>
            <w:tcW w:w="3063" w:type="dxa"/>
            <w:gridSpan w:val="4"/>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评分因素</w:t>
            </w:r>
          </w:p>
        </w:tc>
        <w:tc>
          <w:tcPr>
            <w:tcW w:w="6192" w:type="dxa"/>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83" w:type="dxa"/>
            <w:vMerge w:val="restart"/>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2.2.4（1）</w:t>
            </w:r>
          </w:p>
        </w:tc>
        <w:tc>
          <w:tcPr>
            <w:tcW w:w="1184" w:type="dxa"/>
            <w:gridSpan w:val="2"/>
            <w:vMerge w:val="restart"/>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技术标</w:t>
            </w:r>
          </w:p>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评分标准</w:t>
            </w:r>
          </w:p>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35</w:t>
            </w:r>
            <w:r>
              <w:rPr>
                <w:rFonts w:hint="eastAsia" w:ascii="宋体" w:hAnsi="宋体" w:eastAsia="宋体" w:cs="宋体"/>
                <w:color w:val="000000"/>
                <w:sz w:val="24"/>
                <w:szCs w:val="24"/>
                <w:highlight w:val="none"/>
              </w:rPr>
              <w:t>分）</w:t>
            </w:r>
          </w:p>
        </w:tc>
        <w:tc>
          <w:tcPr>
            <w:tcW w:w="187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hAnsi="宋体"/>
                <w:color w:val="auto"/>
                <w:highlight w:val="none"/>
                <w:lang w:val="en-US" w:eastAsia="zh-CN"/>
              </w:rPr>
            </w:pPr>
            <w:bookmarkStart w:id="344" w:name="_Toc8262"/>
            <w:bookmarkEnd w:id="344"/>
            <w:bookmarkStart w:id="345" w:name="_Toc27264"/>
            <w:bookmarkEnd w:id="345"/>
            <w:bookmarkStart w:id="346" w:name="_Toc25531"/>
            <w:bookmarkEnd w:id="346"/>
            <w:bookmarkStart w:id="347" w:name="_Toc25598"/>
            <w:bookmarkEnd w:id="347"/>
            <w:r>
              <w:rPr>
                <w:rFonts w:hint="eastAsia" w:ascii="宋体" w:hAnsi="宋体" w:eastAsia="宋体" w:cs="宋体"/>
                <w:sz w:val="24"/>
                <w:szCs w:val="24"/>
                <w:highlight w:val="none"/>
              </w:rPr>
              <w:t>内容完整性和编制水平</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hAnsi="宋体"/>
                <w:color w:val="auto"/>
                <w:highlight w:val="none"/>
                <w:lang w:val="en-US" w:eastAsia="zh-CN"/>
              </w:rPr>
            </w:pPr>
            <w:bookmarkStart w:id="348" w:name="_Toc5217"/>
            <w:bookmarkEnd w:id="348"/>
            <w:bookmarkStart w:id="349" w:name="_Toc23155"/>
            <w:bookmarkEnd w:id="349"/>
            <w:bookmarkStart w:id="350" w:name="_Toc29749"/>
            <w:bookmarkEnd w:id="350"/>
            <w:bookmarkStart w:id="351" w:name="_Toc21768"/>
            <w:bookmarkEnd w:id="351"/>
            <w:r>
              <w:rPr>
                <w:rFonts w:hint="eastAsia" w:ascii="宋体" w:hAnsi="宋体" w:eastAsia="宋体" w:cs="宋体"/>
                <w:sz w:val="24"/>
                <w:szCs w:val="24"/>
                <w:highlight w:val="none"/>
                <w:lang w:eastAsia="zh-CN"/>
              </w:rPr>
              <w:t>整个技术标</w:t>
            </w:r>
            <w:r>
              <w:rPr>
                <w:rFonts w:hint="eastAsia" w:ascii="宋体" w:hAnsi="宋体" w:eastAsia="宋体" w:cs="宋体"/>
                <w:sz w:val="24"/>
                <w:szCs w:val="24"/>
                <w:highlight w:val="none"/>
              </w:rPr>
              <w:t>内容完整、编排合理有序0-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rPr>
            </w:pPr>
          </w:p>
        </w:tc>
        <w:tc>
          <w:tcPr>
            <w:tcW w:w="1184" w:type="dxa"/>
            <w:gridSpan w:val="2"/>
            <w:vMerge w:val="continue"/>
            <w:noWrap w:val="0"/>
            <w:vAlign w:val="top"/>
          </w:tcPr>
          <w:p>
            <w:pPr>
              <w:keepNext w:val="0"/>
              <w:keepLines w:val="0"/>
              <w:pageBreakBefore w:val="0"/>
              <w:widowControl w:val="0"/>
              <w:kinsoku/>
              <w:overflowPunct/>
              <w:topLinePunct w:val="0"/>
              <w:bidi w:val="0"/>
              <w:adjustRightInd/>
              <w:spacing w:beforeAutospacing="0" w:afterAutospacing="0"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187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hAnsi="宋体"/>
                <w:color w:val="auto"/>
                <w:highlight w:val="none"/>
                <w:lang w:val="en-US" w:eastAsia="zh-CN"/>
              </w:rPr>
            </w:pPr>
            <w:bookmarkStart w:id="352" w:name="_Toc16730"/>
            <w:bookmarkEnd w:id="352"/>
            <w:bookmarkStart w:id="353" w:name="_Toc28300"/>
            <w:bookmarkEnd w:id="353"/>
            <w:bookmarkStart w:id="354" w:name="_Toc14166"/>
            <w:bookmarkEnd w:id="354"/>
            <w:bookmarkStart w:id="355" w:name="_Toc25201"/>
            <w:bookmarkEnd w:id="355"/>
            <w:r>
              <w:rPr>
                <w:rFonts w:hint="eastAsia" w:ascii="宋体" w:hAnsi="宋体" w:eastAsia="宋体" w:cs="宋体"/>
                <w:sz w:val="24"/>
                <w:szCs w:val="24"/>
                <w:highlight w:val="none"/>
              </w:rPr>
              <w:t>施工方案与技术措施</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hAnsi="宋体"/>
                <w:color w:val="auto"/>
                <w:highlight w:val="none"/>
                <w:lang w:val="en-US" w:eastAsia="zh-CN"/>
              </w:rPr>
            </w:pPr>
            <w:bookmarkStart w:id="356" w:name="_Toc15443"/>
            <w:bookmarkEnd w:id="356"/>
            <w:bookmarkStart w:id="357" w:name="_Toc21050"/>
            <w:bookmarkEnd w:id="357"/>
            <w:bookmarkStart w:id="358" w:name="_Toc12669"/>
            <w:bookmarkEnd w:id="358"/>
            <w:bookmarkStart w:id="359" w:name="_Toc4114"/>
            <w:bookmarkEnd w:id="359"/>
            <w:r>
              <w:rPr>
                <w:rFonts w:hint="eastAsia" w:ascii="宋体" w:hAnsi="宋体" w:eastAsia="宋体" w:cs="宋体"/>
                <w:sz w:val="24"/>
                <w:szCs w:val="24"/>
                <w:highlight w:val="none"/>
              </w:rPr>
              <w:t>针对性、先进性、节约工程成本0-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rPr>
            </w:pPr>
          </w:p>
        </w:tc>
        <w:tc>
          <w:tcPr>
            <w:tcW w:w="1184" w:type="dxa"/>
            <w:gridSpan w:val="2"/>
            <w:vMerge w:val="continue"/>
            <w:noWrap w:val="0"/>
            <w:vAlign w:val="top"/>
          </w:tcPr>
          <w:p>
            <w:pPr>
              <w:keepNext w:val="0"/>
              <w:keepLines w:val="0"/>
              <w:pageBreakBefore w:val="0"/>
              <w:widowControl w:val="0"/>
              <w:kinsoku/>
              <w:overflowPunct/>
              <w:topLinePunct w:val="0"/>
              <w:bidi w:val="0"/>
              <w:adjustRightInd/>
              <w:spacing w:beforeAutospacing="0" w:afterAutospacing="0"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187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质量管理体系与措施</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保证招标文件规定的质量、措施切实可行0-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rPr>
            </w:pPr>
          </w:p>
        </w:tc>
        <w:tc>
          <w:tcPr>
            <w:tcW w:w="1184" w:type="dxa"/>
            <w:gridSpan w:val="2"/>
            <w:vMerge w:val="continue"/>
            <w:noWrap w:val="0"/>
            <w:vAlign w:val="top"/>
          </w:tcPr>
          <w:p>
            <w:pPr>
              <w:keepNext w:val="0"/>
              <w:keepLines w:val="0"/>
              <w:pageBreakBefore w:val="0"/>
              <w:widowControl w:val="0"/>
              <w:kinsoku/>
              <w:overflowPunct/>
              <w:topLinePunct w:val="0"/>
              <w:bidi w:val="0"/>
              <w:adjustRightInd/>
              <w:spacing w:beforeAutospacing="0" w:afterAutospacing="0"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187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安全管理体系与措施</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保证工程施工文明、安全、措施切实可行0-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rPr>
            </w:pPr>
          </w:p>
        </w:tc>
        <w:tc>
          <w:tcPr>
            <w:tcW w:w="1184" w:type="dxa"/>
            <w:gridSpan w:val="2"/>
            <w:vMerge w:val="continue"/>
            <w:noWrap w:val="0"/>
            <w:vAlign w:val="top"/>
          </w:tcPr>
          <w:p>
            <w:pPr>
              <w:keepNext w:val="0"/>
              <w:keepLines w:val="0"/>
              <w:pageBreakBefore w:val="0"/>
              <w:widowControl w:val="0"/>
              <w:kinsoku/>
              <w:overflowPunct/>
              <w:topLinePunct w:val="0"/>
              <w:bidi w:val="0"/>
              <w:adjustRightInd/>
              <w:spacing w:beforeAutospacing="0" w:afterAutospacing="0"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187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环境保护、文明施工管理体系与技术措施</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保证工程环境、措施切合实际0-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rPr>
            </w:pPr>
          </w:p>
        </w:tc>
        <w:tc>
          <w:tcPr>
            <w:tcW w:w="1184" w:type="dxa"/>
            <w:gridSpan w:val="2"/>
            <w:vMerge w:val="continue"/>
            <w:noWrap w:val="0"/>
            <w:vAlign w:val="top"/>
          </w:tcPr>
          <w:p>
            <w:pPr>
              <w:keepNext w:val="0"/>
              <w:keepLines w:val="0"/>
              <w:pageBreakBefore w:val="0"/>
              <w:widowControl w:val="0"/>
              <w:kinsoku/>
              <w:overflowPunct/>
              <w:topLinePunct w:val="0"/>
              <w:bidi w:val="0"/>
              <w:adjustRightInd/>
              <w:spacing w:beforeAutospacing="0" w:afterAutospacing="0"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187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工程进度计划与确保工期的技术措施</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工程进度安排合理、切合实际0-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rPr>
            </w:pPr>
          </w:p>
        </w:tc>
        <w:tc>
          <w:tcPr>
            <w:tcW w:w="1184" w:type="dxa"/>
            <w:gridSpan w:val="2"/>
            <w:vMerge w:val="continue"/>
            <w:noWrap w:val="0"/>
            <w:vAlign w:val="top"/>
          </w:tcPr>
          <w:p>
            <w:pPr>
              <w:keepNext w:val="0"/>
              <w:keepLines w:val="0"/>
              <w:pageBreakBefore w:val="0"/>
              <w:widowControl w:val="0"/>
              <w:kinsoku/>
              <w:overflowPunct/>
              <w:topLinePunct w:val="0"/>
              <w:bidi w:val="0"/>
              <w:adjustRightInd/>
              <w:spacing w:beforeAutospacing="0" w:afterAutospacing="0"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18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资源配备计划</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材料配备满足工程要求、人员配备合理、施工机械满足工程要求0-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83" w:type="dxa"/>
            <w:vMerge w:val="continue"/>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rPr>
            </w:pPr>
          </w:p>
        </w:tc>
        <w:tc>
          <w:tcPr>
            <w:tcW w:w="1184" w:type="dxa"/>
            <w:gridSpan w:val="2"/>
            <w:vMerge w:val="continue"/>
            <w:noWrap w:val="0"/>
            <w:vAlign w:val="top"/>
          </w:tcPr>
          <w:p>
            <w:pPr>
              <w:keepNext w:val="0"/>
              <w:keepLines w:val="0"/>
              <w:pageBreakBefore w:val="0"/>
              <w:widowControl w:val="0"/>
              <w:kinsoku/>
              <w:overflowPunct/>
              <w:topLinePunct w:val="0"/>
              <w:bidi w:val="0"/>
              <w:adjustRightInd/>
              <w:spacing w:beforeAutospacing="0" w:afterAutospacing="0"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p>
        </w:tc>
        <w:tc>
          <w:tcPr>
            <w:tcW w:w="18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总平面图</w:t>
            </w:r>
          </w:p>
        </w:tc>
        <w:tc>
          <w:tcPr>
            <w:tcW w:w="61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hAnsi="宋体"/>
                <w:color w:val="auto"/>
                <w:highlight w:val="none"/>
                <w:lang w:val="en-US" w:eastAsia="zh-CN"/>
              </w:rPr>
            </w:pPr>
            <w:r>
              <w:rPr>
                <w:rFonts w:hint="eastAsia" w:ascii="宋体" w:hAnsi="宋体" w:eastAsia="宋体" w:cs="宋体"/>
                <w:sz w:val="24"/>
                <w:szCs w:val="24"/>
                <w:highlight w:val="none"/>
              </w:rPr>
              <w:t>现场措施齐全、布置合理、可行0-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83" w:type="dxa"/>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2.2.4</w:t>
            </w:r>
          </w:p>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184" w:type="dxa"/>
            <w:gridSpan w:val="2"/>
            <w:noWrap w:val="0"/>
            <w:vAlign w:val="center"/>
          </w:tcPr>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商务标</w:t>
            </w:r>
          </w:p>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评分标准</w:t>
            </w:r>
          </w:p>
          <w:p>
            <w:pPr>
              <w:keepNext w:val="0"/>
              <w:keepLines w:val="0"/>
              <w:pageBreakBefore w:val="0"/>
              <w:kinsoku/>
              <w:overflowPunct/>
              <w:topLinePunct w:val="0"/>
              <w:bidi w:val="0"/>
              <w:adjustRightInd/>
              <w:spacing w:beforeAutospacing="0" w:afterAutospacing="0" w:line="50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50</w:t>
            </w:r>
            <w:r>
              <w:rPr>
                <w:rFonts w:hint="eastAsia" w:ascii="宋体" w:hAnsi="宋体" w:eastAsia="宋体" w:cs="宋体"/>
                <w:color w:val="000000"/>
                <w:sz w:val="24"/>
                <w:szCs w:val="24"/>
                <w:highlight w:val="none"/>
              </w:rPr>
              <w:t>分）</w:t>
            </w:r>
          </w:p>
        </w:tc>
        <w:tc>
          <w:tcPr>
            <w:tcW w:w="8071" w:type="dxa"/>
            <w:gridSpan w:val="3"/>
            <w:noWrap w:val="0"/>
            <w:vAlign w:val="center"/>
          </w:tcPr>
          <w:p>
            <w:pPr>
              <w:keepNext w:val="0"/>
              <w:keepLines w:val="0"/>
              <w:pageBreakBefore w:val="0"/>
              <w:kinsoku/>
              <w:overflowPunct/>
              <w:topLinePunct w:val="0"/>
              <w:bidi w:val="0"/>
              <w:adjustRightInd/>
              <w:spacing w:beforeAutospacing="0" w:afterAutospacing="0" w:line="500" w:lineRule="exac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以评标基准价为基准；</w:t>
            </w:r>
          </w:p>
          <w:p>
            <w:pPr>
              <w:keepNext w:val="0"/>
              <w:keepLines w:val="0"/>
              <w:pageBreakBefore w:val="0"/>
              <w:kinsoku/>
              <w:overflowPunct/>
              <w:topLinePunct w:val="0"/>
              <w:bidi w:val="0"/>
              <w:adjustRightInd/>
              <w:spacing w:beforeAutospacing="0" w:afterAutospacing="0" w:line="500" w:lineRule="exac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投标人的</w:t>
            </w:r>
            <w:r>
              <w:rPr>
                <w:rFonts w:hint="eastAsia" w:ascii="宋体" w:hAnsi="宋体" w:eastAsia="宋体" w:cs="宋体"/>
                <w:sz w:val="24"/>
                <w:szCs w:val="24"/>
                <w:highlight w:val="none"/>
                <w:lang w:eastAsia="zh-CN"/>
              </w:rPr>
              <w:t>评标价</w:t>
            </w:r>
            <w:r>
              <w:rPr>
                <w:rFonts w:hint="eastAsia" w:ascii="宋体" w:hAnsi="宋体" w:eastAsia="宋体" w:cs="宋体"/>
                <w:color w:val="000000"/>
                <w:sz w:val="24"/>
                <w:szCs w:val="24"/>
                <w:highlight w:val="none"/>
              </w:rPr>
              <w:t>与评标基准价相等者得满分（</w:t>
            </w:r>
            <w:r>
              <w:rPr>
                <w:rFonts w:hint="eastAsia" w:ascii="宋体" w:hAnsi="宋体" w:cs="宋体"/>
                <w:color w:val="000000"/>
                <w:sz w:val="24"/>
                <w:szCs w:val="24"/>
                <w:highlight w:val="none"/>
                <w:lang w:val="en-US" w:eastAsia="zh-CN"/>
              </w:rPr>
              <w:t>50</w:t>
            </w:r>
            <w:r>
              <w:rPr>
                <w:rFonts w:hint="eastAsia" w:ascii="宋体" w:hAnsi="宋体" w:eastAsia="宋体" w:cs="宋体"/>
                <w:color w:val="000000"/>
                <w:sz w:val="24"/>
                <w:szCs w:val="24"/>
                <w:highlight w:val="none"/>
              </w:rPr>
              <w:t>分）；</w:t>
            </w:r>
          </w:p>
          <w:p>
            <w:pPr>
              <w:keepNext w:val="0"/>
              <w:keepLines w:val="0"/>
              <w:pageBreakBefore w:val="0"/>
              <w:kinsoku/>
              <w:overflowPunct/>
              <w:topLinePunct w:val="0"/>
              <w:bidi w:val="0"/>
              <w:adjustRightInd/>
              <w:spacing w:beforeAutospacing="0" w:afterAutospacing="0" w:line="500" w:lineRule="exact"/>
              <w:textAlignment w:val="baseline"/>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投标人的评标价</w:t>
            </w:r>
            <w:r>
              <w:rPr>
                <w:rFonts w:hint="eastAsia" w:ascii="宋体" w:hAnsi="宋体" w:eastAsia="宋体" w:cs="宋体"/>
                <w:color w:val="000000"/>
                <w:sz w:val="24"/>
                <w:szCs w:val="24"/>
                <w:highlight w:val="none"/>
              </w:rPr>
              <w:t>高于评标基准价的，按每高于评标基准价1%在满分(</w:t>
            </w:r>
            <w:r>
              <w:rPr>
                <w:rFonts w:hint="eastAsia" w:ascii="宋体" w:hAnsi="宋体" w:cs="宋体"/>
                <w:color w:val="000000"/>
                <w:sz w:val="24"/>
                <w:szCs w:val="24"/>
                <w:highlight w:val="none"/>
                <w:lang w:val="en-US" w:eastAsia="zh-CN"/>
              </w:rPr>
              <w:t>50</w:t>
            </w:r>
            <w:r>
              <w:rPr>
                <w:rFonts w:hint="eastAsia" w:ascii="宋体" w:hAnsi="宋体" w:eastAsia="宋体" w:cs="宋体"/>
                <w:color w:val="000000"/>
                <w:sz w:val="24"/>
                <w:szCs w:val="24"/>
                <w:highlight w:val="none"/>
              </w:rPr>
              <w:t>分)的基础上扣1分的比例进行扣分，扣完为止；</w:t>
            </w:r>
          </w:p>
          <w:p>
            <w:pPr>
              <w:keepNext w:val="0"/>
              <w:keepLines w:val="0"/>
              <w:pageBreakBefore w:val="0"/>
              <w:widowControl w:val="0"/>
              <w:kinsoku/>
              <w:overflowPunct/>
              <w:topLinePunct w:val="0"/>
              <w:bidi w:val="0"/>
              <w:adjustRightInd/>
              <w:spacing w:beforeAutospacing="0" w:afterAutospacing="0" w:line="500" w:lineRule="exac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投标人的</w:t>
            </w:r>
            <w:r>
              <w:rPr>
                <w:rFonts w:hint="eastAsia" w:ascii="宋体" w:hAnsi="宋体" w:eastAsia="宋体" w:cs="宋体"/>
                <w:sz w:val="24"/>
                <w:szCs w:val="24"/>
                <w:highlight w:val="none"/>
                <w:lang w:eastAsia="zh-CN"/>
              </w:rPr>
              <w:t>评标价</w:t>
            </w:r>
            <w:r>
              <w:rPr>
                <w:rFonts w:hint="eastAsia" w:ascii="宋体" w:hAnsi="宋体" w:eastAsia="宋体" w:cs="宋体"/>
                <w:color w:val="000000"/>
                <w:sz w:val="24"/>
                <w:szCs w:val="24"/>
                <w:highlight w:val="none"/>
              </w:rPr>
              <w:t>低于评标基准价的，按每低于评标基准价1%在满分(</w:t>
            </w:r>
            <w:r>
              <w:rPr>
                <w:rFonts w:hint="eastAsia" w:ascii="宋体" w:hAnsi="宋体" w:cs="宋体"/>
                <w:color w:val="000000"/>
                <w:sz w:val="24"/>
                <w:szCs w:val="24"/>
                <w:highlight w:val="none"/>
                <w:lang w:val="en-US" w:eastAsia="zh-CN"/>
              </w:rPr>
              <w:t>50</w:t>
            </w:r>
            <w:r>
              <w:rPr>
                <w:rFonts w:hint="eastAsia" w:ascii="宋体" w:hAnsi="宋体" w:eastAsia="宋体" w:cs="宋体"/>
                <w:color w:val="000000"/>
                <w:sz w:val="24"/>
                <w:szCs w:val="24"/>
                <w:highlight w:val="none"/>
              </w:rPr>
              <w:t>分)的基础上扣0.5分的比例进行扣分，扣完为止。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83"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2.2.4</w:t>
            </w:r>
          </w:p>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1184"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sz w:val="24"/>
                <w:szCs w:val="24"/>
              </w:rPr>
            </w:pPr>
            <w:r>
              <w:rPr>
                <w:rFonts w:hint="eastAsia" w:ascii="宋体" w:hAnsi="宋体" w:eastAsia="宋体" w:cs="宋体"/>
                <w:sz w:val="24"/>
                <w:szCs w:val="24"/>
              </w:rPr>
              <w:t>综合标</w:t>
            </w:r>
          </w:p>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rPr>
              <w:t>评分标准（</w:t>
            </w:r>
            <w:r>
              <w:rPr>
                <w:rFonts w:hint="eastAsia" w:ascii="宋体" w:hAnsi="宋体" w:cs="宋体"/>
                <w:sz w:val="24"/>
                <w:szCs w:val="24"/>
                <w:lang w:val="en-US" w:eastAsia="zh-CN"/>
              </w:rPr>
              <w:t>15</w:t>
            </w:r>
            <w:r>
              <w:rPr>
                <w:rFonts w:hint="eastAsia" w:ascii="宋体" w:hAnsi="宋体" w:eastAsia="宋体" w:cs="宋体"/>
                <w:sz w:val="24"/>
                <w:szCs w:val="24"/>
              </w:rPr>
              <w:t>分）</w:t>
            </w:r>
          </w:p>
        </w:tc>
        <w:tc>
          <w:tcPr>
            <w:tcW w:w="1873" w:type="dxa"/>
            <w:noWrap w:val="0"/>
            <w:vAlign w:val="center"/>
          </w:tcPr>
          <w:p>
            <w:pPr>
              <w:spacing w:line="500" w:lineRule="exact"/>
              <w:jc w:val="center"/>
              <w:rPr>
                <w:rFonts w:hint="eastAsia" w:ascii="宋体" w:hAnsi="宋体" w:cs="宋体"/>
                <w:sz w:val="24"/>
              </w:rPr>
            </w:pPr>
            <w:r>
              <w:rPr>
                <w:rFonts w:hint="eastAsia" w:ascii="宋体" w:hAnsi="宋体" w:cs="宋体"/>
                <w:sz w:val="24"/>
              </w:rPr>
              <w:t>企业业绩</w:t>
            </w:r>
          </w:p>
          <w:p>
            <w:pPr>
              <w:spacing w:line="500" w:lineRule="exact"/>
              <w:jc w:val="center"/>
              <w:rPr>
                <w:rFonts w:hint="eastAsia" w:ascii="宋体" w:hAnsi="宋体" w:eastAsia="宋体" w:cs="宋体"/>
                <w:b w:val="0"/>
                <w:bCs w:val="0"/>
                <w:color w:val="000000"/>
                <w:sz w:val="24"/>
                <w:szCs w:val="24"/>
                <w:lang w:val="en-US" w:eastAsia="zh-CN"/>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w:t>
            </w:r>
          </w:p>
        </w:tc>
        <w:tc>
          <w:tcPr>
            <w:tcW w:w="6198" w:type="dxa"/>
            <w:gridSpan w:val="2"/>
            <w:noWrap w:val="0"/>
            <w:vAlign w:val="center"/>
          </w:tcPr>
          <w:p>
            <w:pPr>
              <w:spacing w:line="500" w:lineRule="exact"/>
              <w:rPr>
                <w:rFonts w:hint="eastAsia" w:ascii="宋体" w:hAnsi="宋体" w:eastAsia="宋体" w:cs="宋体"/>
                <w:b w:val="0"/>
                <w:bCs w:val="0"/>
                <w:color w:val="000000"/>
                <w:sz w:val="24"/>
                <w:szCs w:val="24"/>
                <w:lang w:val="en-US" w:eastAsia="zh-CN"/>
              </w:rPr>
            </w:pPr>
            <w:r>
              <w:rPr>
                <w:rFonts w:hint="eastAsia" w:ascii="宋体" w:hAnsi="宋体" w:cs="宋体"/>
                <w:color w:val="000000"/>
                <w:sz w:val="24"/>
              </w:rPr>
              <w:t>自201</w:t>
            </w:r>
            <w:r>
              <w:rPr>
                <w:rFonts w:hint="eastAsia" w:ascii="宋体" w:hAnsi="宋体" w:cs="宋体"/>
                <w:color w:val="000000"/>
                <w:sz w:val="24"/>
                <w:lang w:val="en-US" w:eastAsia="zh-CN"/>
              </w:rPr>
              <w:t>9</w:t>
            </w:r>
            <w:r>
              <w:rPr>
                <w:rFonts w:hint="eastAsia" w:ascii="宋体" w:hAnsi="宋体" w:cs="宋体"/>
                <w:color w:val="000000"/>
                <w:sz w:val="24"/>
              </w:rPr>
              <w:t>年1月1日以来，投标人完成过类似业绩，每有一份得</w:t>
            </w:r>
            <w:r>
              <w:rPr>
                <w:rFonts w:hint="eastAsia" w:ascii="宋体" w:hAnsi="宋体" w:cs="宋体"/>
                <w:color w:val="000000"/>
                <w:sz w:val="24"/>
                <w:lang w:val="en-US" w:eastAsia="zh-CN"/>
              </w:rPr>
              <w:t>3</w:t>
            </w:r>
            <w:r>
              <w:rPr>
                <w:rFonts w:hint="eastAsia" w:ascii="宋体" w:hAnsi="宋体" w:cs="宋体"/>
                <w:color w:val="000000"/>
                <w:sz w:val="24"/>
              </w:rPr>
              <w:t>分，最多得</w:t>
            </w:r>
            <w:r>
              <w:rPr>
                <w:rFonts w:hint="eastAsia" w:ascii="宋体" w:hAnsi="宋体" w:cs="宋体"/>
                <w:color w:val="000000"/>
                <w:sz w:val="24"/>
                <w:lang w:val="en-US" w:eastAsia="zh-CN"/>
              </w:rPr>
              <w:t>6</w:t>
            </w:r>
            <w:r>
              <w:rPr>
                <w:rFonts w:hint="eastAsia" w:ascii="宋体" w:hAnsi="宋体" w:cs="宋体"/>
                <w:color w:val="000000"/>
                <w:sz w:val="24"/>
              </w:rPr>
              <w:t>分</w:t>
            </w:r>
            <w:r>
              <w:rPr>
                <w:rFonts w:hint="eastAsia" w:ascii="宋体" w:hAnsi="宋体" w:cs="宋体"/>
                <w:b/>
                <w:bCs/>
                <w:color w:val="000000"/>
                <w:sz w:val="24"/>
              </w:rPr>
              <w:t>（类似项目业绩需提供合同</w:t>
            </w:r>
            <w:r>
              <w:rPr>
                <w:rFonts w:hint="eastAsia" w:ascii="宋体" w:hAnsi="宋体" w:cs="宋体"/>
                <w:b/>
                <w:bCs/>
                <w:color w:val="000000"/>
                <w:sz w:val="24"/>
                <w:lang w:eastAsia="zh-CN"/>
              </w:rPr>
              <w:t>协议书</w:t>
            </w:r>
            <w:r>
              <w:rPr>
                <w:rFonts w:hint="eastAsia" w:ascii="宋体" w:hAnsi="宋体" w:cs="宋体"/>
                <w:b/>
                <w:bCs/>
                <w:color w:val="000000"/>
                <w:sz w:val="24"/>
              </w:rPr>
              <w:t>。时间以合同</w:t>
            </w:r>
            <w:r>
              <w:rPr>
                <w:rFonts w:hint="eastAsia" w:ascii="宋体" w:hAnsi="宋体" w:cs="宋体"/>
                <w:b/>
                <w:bCs/>
                <w:color w:val="000000"/>
                <w:sz w:val="24"/>
                <w:lang w:eastAsia="zh-CN"/>
              </w:rPr>
              <w:t>实际</w:t>
            </w:r>
            <w:r>
              <w:rPr>
                <w:rFonts w:hint="eastAsia" w:ascii="宋体" w:hAnsi="宋体" w:cs="宋体"/>
                <w:b/>
                <w:bCs/>
                <w:color w:val="000000"/>
                <w:sz w:val="24"/>
              </w:rPr>
              <w:t>签署时间为准。证明文件的原件</w:t>
            </w:r>
            <w:r>
              <w:rPr>
                <w:rFonts w:hint="eastAsia" w:ascii="宋体" w:hAnsi="宋体" w:cs="宋体"/>
                <w:b/>
                <w:bCs/>
                <w:color w:val="000000"/>
                <w:sz w:val="24"/>
                <w:lang w:eastAsia="zh-CN"/>
              </w:rPr>
              <w:t>扫描件</w:t>
            </w:r>
            <w:r>
              <w:rPr>
                <w:rFonts w:hint="eastAsia" w:ascii="宋体" w:hAnsi="宋体" w:cs="宋体"/>
                <w:b/>
                <w:bCs/>
                <w:color w:val="000000"/>
                <w:sz w:val="24"/>
              </w:rPr>
              <w:t>上传至诚信库以供查验，投标文件中附</w:t>
            </w:r>
            <w:r>
              <w:rPr>
                <w:rFonts w:hint="eastAsia" w:ascii="宋体" w:hAnsi="宋体" w:cs="宋体"/>
                <w:b/>
                <w:bCs/>
                <w:color w:val="000000"/>
                <w:sz w:val="24"/>
                <w:lang w:eastAsia="zh-CN"/>
              </w:rPr>
              <w:t>原件</w:t>
            </w:r>
            <w:r>
              <w:rPr>
                <w:rFonts w:hint="eastAsia" w:ascii="宋体" w:hAnsi="宋体" w:cs="宋体"/>
                <w:b/>
                <w:bCs/>
                <w:color w:val="000000"/>
                <w:sz w:val="24"/>
              </w:rPr>
              <w:t>的</w:t>
            </w:r>
            <w:r>
              <w:rPr>
                <w:rFonts w:hint="eastAsia" w:ascii="宋体" w:hAnsi="宋体" w:cs="宋体"/>
                <w:b/>
                <w:bCs/>
                <w:color w:val="000000"/>
                <w:sz w:val="24"/>
                <w:lang w:eastAsia="zh-CN"/>
              </w:rPr>
              <w:t>扫描</w:t>
            </w:r>
            <w:r>
              <w:rPr>
                <w:rFonts w:hint="eastAsia" w:ascii="宋体" w:hAnsi="宋体" w:cs="宋体"/>
                <w:b/>
                <w:bCs/>
                <w:color w:val="00000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83"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2"/>
                <w:sz w:val="24"/>
                <w:szCs w:val="24"/>
                <w:lang w:val="en-US" w:eastAsia="zh-CN" w:bidi="ar-SA"/>
              </w:rPr>
            </w:pPr>
          </w:p>
        </w:tc>
        <w:tc>
          <w:tcPr>
            <w:tcW w:w="1184"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FF0000"/>
                <w:kern w:val="2"/>
                <w:sz w:val="24"/>
                <w:szCs w:val="24"/>
                <w:lang w:val="en-US" w:eastAsia="zh-CN" w:bidi="ar-SA"/>
              </w:rPr>
            </w:pPr>
          </w:p>
        </w:tc>
        <w:tc>
          <w:tcPr>
            <w:tcW w:w="1873"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优惠承诺</w:t>
            </w:r>
          </w:p>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分）</w:t>
            </w:r>
          </w:p>
        </w:tc>
        <w:tc>
          <w:tcPr>
            <w:tcW w:w="6198" w:type="dxa"/>
            <w:gridSpan w:val="2"/>
            <w:noWrap w:val="0"/>
            <w:vAlign w:val="center"/>
          </w:tcPr>
          <w:p>
            <w:pPr>
              <w:spacing w:line="500" w:lineRule="exac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优惠承诺应是书面的符合工程实际情况，确保依法依规，优惠合理，详实可行。</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＜得分≤</w:t>
            </w:r>
            <w:r>
              <w:rPr>
                <w:rFonts w:hint="eastAsia" w:ascii="宋体" w:hAnsi="宋体" w:cs="宋体"/>
                <w:b w:val="0"/>
                <w:bCs w:val="0"/>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83"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2"/>
                <w:sz w:val="24"/>
                <w:szCs w:val="24"/>
                <w:lang w:val="en-US" w:eastAsia="zh-CN" w:bidi="ar-SA"/>
              </w:rPr>
            </w:pPr>
          </w:p>
        </w:tc>
        <w:tc>
          <w:tcPr>
            <w:tcW w:w="1184"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FF0000"/>
                <w:kern w:val="2"/>
                <w:sz w:val="24"/>
                <w:szCs w:val="24"/>
                <w:lang w:val="en-US" w:eastAsia="zh-CN" w:bidi="ar-SA"/>
              </w:rPr>
            </w:pPr>
          </w:p>
        </w:tc>
        <w:tc>
          <w:tcPr>
            <w:tcW w:w="1873"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val="0"/>
                <w:color w:val="000000"/>
                <w:sz w:val="24"/>
                <w:szCs w:val="24"/>
                <w:lang w:val="en-US" w:eastAsia="zh-CN"/>
              </w:rPr>
            </w:pPr>
          </w:p>
        </w:tc>
        <w:tc>
          <w:tcPr>
            <w:tcW w:w="6198"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优惠承诺符合工程实际情况，确保依法依规，优惠基本合理，基本详实可行。1≤得分≤</w:t>
            </w:r>
            <w:r>
              <w:rPr>
                <w:rFonts w:hint="eastAsia" w:ascii="宋体" w:hAnsi="宋体" w:cs="宋体"/>
                <w:b w:val="0"/>
                <w:bCs w:val="0"/>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83" w:type="dxa"/>
            <w:vMerge w:val="continue"/>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2"/>
                <w:sz w:val="24"/>
                <w:szCs w:val="24"/>
                <w:lang w:val="en-US" w:eastAsia="zh-CN" w:bidi="ar-SA"/>
              </w:rPr>
            </w:pPr>
          </w:p>
        </w:tc>
        <w:tc>
          <w:tcPr>
            <w:tcW w:w="1184" w:type="dxa"/>
            <w:gridSpan w:val="2"/>
            <w:vMerge w:val="continue"/>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FF0000"/>
                <w:kern w:val="2"/>
                <w:sz w:val="24"/>
                <w:szCs w:val="24"/>
                <w:lang w:val="en-US" w:eastAsia="zh-CN" w:bidi="ar-SA"/>
              </w:rPr>
            </w:pPr>
          </w:p>
        </w:tc>
        <w:tc>
          <w:tcPr>
            <w:tcW w:w="1873"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履职尽责承诺</w:t>
            </w:r>
          </w:p>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分）</w:t>
            </w:r>
          </w:p>
        </w:tc>
        <w:tc>
          <w:tcPr>
            <w:tcW w:w="6198"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lang w:val="en-US" w:eastAsia="zh-CN"/>
              </w:rPr>
              <w:t>具有全面、详实、可行、合法有效的书面保证技术措施落实到位的承诺和落实不到位的处理承诺，其中包括各关键岗位人员（项目经理、技术负责人及相关技术人员、质量员、安全员、材料员、测量员等）的在岗、更换等履职尽责承诺，提供承包商履约保证。3＜得分≤</w:t>
            </w:r>
            <w:r>
              <w:rPr>
                <w:rFonts w:hint="eastAsia" w:ascii="宋体" w:hAnsi="宋体" w:cs="宋体"/>
                <w:b w:val="0"/>
                <w:bCs w:val="0"/>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83" w:type="dxa"/>
            <w:vMerge w:val="continue"/>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2"/>
                <w:sz w:val="24"/>
                <w:szCs w:val="24"/>
                <w:lang w:val="en-US" w:eastAsia="zh-CN" w:bidi="ar-SA"/>
              </w:rPr>
            </w:pPr>
          </w:p>
        </w:tc>
        <w:tc>
          <w:tcPr>
            <w:tcW w:w="1184" w:type="dxa"/>
            <w:gridSpan w:val="2"/>
            <w:vMerge w:val="continue"/>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FF0000"/>
                <w:kern w:val="2"/>
                <w:sz w:val="24"/>
                <w:szCs w:val="24"/>
                <w:lang w:val="en-US" w:eastAsia="zh-CN" w:bidi="ar-SA"/>
              </w:rPr>
            </w:pPr>
          </w:p>
        </w:tc>
        <w:tc>
          <w:tcPr>
            <w:tcW w:w="1873"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val="0"/>
                <w:color w:val="000000"/>
                <w:sz w:val="24"/>
                <w:szCs w:val="24"/>
                <w:lang w:val="en-US" w:eastAsia="zh-CN"/>
              </w:rPr>
            </w:pPr>
          </w:p>
        </w:tc>
        <w:tc>
          <w:tcPr>
            <w:tcW w:w="6198"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具有可行、合法有效的书面保证技术措施落实到位的承诺和落实不到位的处理承诺，其中包括各关键岗位人员（项目经理、技术负责人及相关技术人员、质量员、安全员、材料员、测量员等）的在岗、更换等履职尽责承诺，提供承包商履约保证。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83" w:type="dxa"/>
            <w:vMerge w:val="continue"/>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000000"/>
                <w:kern w:val="2"/>
                <w:sz w:val="24"/>
                <w:szCs w:val="24"/>
                <w:lang w:val="en-US" w:eastAsia="zh-CN" w:bidi="ar-SA"/>
              </w:rPr>
            </w:pPr>
          </w:p>
        </w:tc>
        <w:tc>
          <w:tcPr>
            <w:tcW w:w="1184" w:type="dxa"/>
            <w:gridSpan w:val="2"/>
            <w:vMerge w:val="continue"/>
            <w:noWrap w:val="0"/>
            <w:vAlign w:val="top"/>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color w:val="FF0000"/>
                <w:kern w:val="2"/>
                <w:sz w:val="24"/>
                <w:szCs w:val="24"/>
                <w:lang w:val="en-US" w:eastAsia="zh-CN" w:bidi="ar-SA"/>
              </w:rPr>
            </w:pPr>
          </w:p>
        </w:tc>
        <w:tc>
          <w:tcPr>
            <w:tcW w:w="8071"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bCs/>
                <w:sz w:val="24"/>
                <w:szCs w:val="24"/>
                <w:highlight w:val="none"/>
              </w:rPr>
              <w:t>注：以上</w:t>
            </w:r>
            <w:r>
              <w:rPr>
                <w:rFonts w:hint="eastAsia" w:ascii="宋体" w:hAnsi="宋体" w:eastAsia="宋体" w:cs="宋体"/>
                <w:b/>
                <w:bCs/>
                <w:sz w:val="24"/>
                <w:szCs w:val="24"/>
                <w:highlight w:val="none"/>
                <w:lang w:eastAsia="zh-CN"/>
              </w:rPr>
              <w:t>承诺</w:t>
            </w:r>
            <w:r>
              <w:rPr>
                <w:rFonts w:hint="eastAsia" w:ascii="宋体" w:hAnsi="宋体" w:eastAsia="宋体" w:cs="宋体"/>
                <w:b/>
                <w:bCs/>
                <w:sz w:val="24"/>
                <w:szCs w:val="24"/>
                <w:highlight w:val="none"/>
              </w:rPr>
              <w:t>如有缺项，则该项得0分。</w:t>
            </w:r>
          </w:p>
        </w:tc>
      </w:tr>
    </w:tbl>
    <w:p>
      <w:pPr>
        <w:pStyle w:val="32"/>
        <w:rPr>
          <w:rFonts w:hint="eastAsia"/>
        </w:rPr>
      </w:pPr>
    </w:p>
    <w:p>
      <w:pPr>
        <w:pStyle w:val="7"/>
        <w:pageBreakBefore w:val="0"/>
        <w:widowControl w:val="0"/>
        <w:kinsoku/>
        <w:overflowPunct/>
        <w:topLinePunct w:val="0"/>
        <w:bidi w:val="0"/>
        <w:adjustRightInd/>
        <w:spacing w:before="0" w:beforeAutospacing="0" w:after="0" w:afterAutospacing="0" w:line="500" w:lineRule="exact"/>
        <w:textAlignment w:val="auto"/>
        <w:rPr>
          <w:rFonts w:hint="eastAsia" w:ascii="宋体" w:hAnsi="宋体" w:eastAsia="宋体" w:cs="宋体"/>
          <w:color w:val="auto"/>
          <w:sz w:val="24"/>
          <w:szCs w:val="24"/>
          <w:highlight w:val="none"/>
        </w:rPr>
        <w:sectPr>
          <w:pgSz w:w="11907" w:h="16840"/>
          <w:pgMar w:top="1417" w:right="1417" w:bottom="1418" w:left="1417" w:header="851" w:footer="851" w:gutter="0"/>
          <w:pgNumType w:fmt="decimal"/>
          <w:cols w:space="720" w:num="1"/>
          <w:docGrid w:linePitch="312" w:charSpace="0"/>
        </w:sectPr>
      </w:pPr>
    </w:p>
    <w:p>
      <w:pPr>
        <w:pStyle w:val="7"/>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评标方法</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本次评标采用综合评估法。评标委员会对满足招标文件实质性要求的投标文件，按照本章第2.2款规定的评分标准进行打分，并按得分由高到低顺序推荐中标候选人，或根据</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授权直接确定中标人，但投标报价低于其成本的除外。综合评分相等时，以投标报价低的优先；投标报价也相等的，由</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自行确定。</w:t>
      </w:r>
    </w:p>
    <w:p>
      <w:pPr>
        <w:pageBreakBefore w:val="0"/>
        <w:widowControl w:val="0"/>
        <w:kinsoku/>
        <w:overflowPunct/>
        <w:topLinePunct w:val="0"/>
        <w:bidi w:val="0"/>
        <w:spacing w:beforeAutospacing="0" w:afterAutospacing="0" w:line="500" w:lineRule="exact"/>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2. 评审标准</w:t>
      </w:r>
    </w:p>
    <w:p>
      <w:pPr>
        <w:pStyle w:val="8"/>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初步评审标准</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形式评审标准：见评标办法前附表。</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资格评审标准：见评标办法前附表。</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 响应性评审标准：见评标办法前附表。</w:t>
      </w:r>
    </w:p>
    <w:p>
      <w:pPr>
        <w:pStyle w:val="8"/>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分值构成与评分标准</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 分值构成</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（1）技术标：见评标办法前附表；</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（2）商务标：见评标办法前附表；</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（3）综合标：见评标办法前附表。</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 评标基准价计算</w:t>
      </w:r>
    </w:p>
    <w:p>
      <w:pPr>
        <w:pageBreakBefore w:val="0"/>
        <w:widowControl w:val="0"/>
        <w:kinsoku/>
        <w:overflowPunct/>
        <w:topLinePunct w:val="0"/>
        <w:bidi w:val="0"/>
        <w:spacing w:beforeAutospacing="0" w:afterAutospacing="0" w:line="500" w:lineRule="exact"/>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评标基准价计算方法：见评标办法前附表。</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 投标报价的偏差率计算</w:t>
      </w:r>
    </w:p>
    <w:p>
      <w:pPr>
        <w:pageBreakBefore w:val="0"/>
        <w:widowControl w:val="0"/>
        <w:kinsoku/>
        <w:overflowPunct/>
        <w:topLinePunct w:val="0"/>
        <w:bidi w:val="0"/>
        <w:spacing w:beforeAutospacing="0" w:afterAutospacing="0" w:line="500" w:lineRule="exact"/>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投标报价的偏差率计算公式：见评标办法前附表。</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 评分标准</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（1）技术标评分标准：见评标办法前附表；</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（2）商务标评分标准：见评标办法前附表；</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（3）综合标评分标准：见评标办法前附表。</w:t>
      </w:r>
    </w:p>
    <w:p>
      <w:pPr>
        <w:pStyle w:val="7"/>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评标程序</w:t>
      </w:r>
    </w:p>
    <w:p>
      <w:pPr>
        <w:pStyle w:val="8"/>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初步评审</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 评标委员会依据本章第2.1款规定的标准对投标文件进行初步评审。有一项不符合评审标准的，作废标处理。</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3.1.2 投标人有以下情形之一的，其投标作废标处理：</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（1）第二章“投标人须知”第1.4.3项规定的任何一种情形的；</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（2）串通投标或弄虚作假或有其他违法行为的；</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（3）不按评标委员会要求澄清、说明或补正的。</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3.1.3投标报价有算术错误的，评标委员会按以下原则对投标报价进行修正，修正的价格经投标人确认后具有约束力。投标人不接受修正价格的，其投标作废标处理。</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（1）投标文件中的大写金额与小写金额不一致的，以大写金额为准；</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（2）总价金额与依据单价计算出的结果不一致的，以单价金额为准修正总价，但单价金额小数点有明显错误的除外。</w:t>
      </w:r>
    </w:p>
    <w:p>
      <w:pPr>
        <w:pStyle w:val="8"/>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 详细评审</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 评标委员会按本章第2.2款规定的量化因素和分值进行打分，并计算出综合评估得分。</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（1）按本章第2.2.4（1）目规定的评审因素和分值对技术标进行打分，取平均值作为技术标得分A；</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（2）按本章第2.2.4（2）目规定的评审因素和分值对商务标进行打分，取平均值作为商务标得分B；</w:t>
      </w:r>
    </w:p>
    <w:p>
      <w:pPr>
        <w:pageBreakBefore w:val="0"/>
        <w:widowControl w:val="0"/>
        <w:kinsoku/>
        <w:overflowPunct/>
        <w:topLinePunct w:val="0"/>
        <w:bidi w:val="0"/>
        <w:spacing w:beforeAutospacing="0" w:afterAutospacing="0" w:line="500" w:lineRule="exact"/>
        <w:ind w:firstLine="820" w:firstLineChars="34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（3）按本章第2.2.4（3）目规定的评审因素和分值对综合标进行打分，取平均值作为综合标得分C。</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3.2.2 评分分值计算保留小数点后两位，小数点后第三位“四舍五入”。</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 投标人最终得分=A+B+C。</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pStyle w:val="8"/>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投标文件的澄清和补正</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3.3.1在评标过程中，评标委员会可以要求投标人对所提交投标文件中不明确的内容进行澄清或说明，或者对细微偏差进行补正。评标委员会不接受投标人主动提出的澄清、说明或补正。</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3.3.2 澄清、说明和补正不得改变投标文件的实质性内容（算术性错误修正的除外）。投标人的澄清、说明和补正属于投标文件的组成部分。</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3.3.3 评标委员会对投标人提交的澄清、说明或补正有疑问的，可以要求投标人进一步澄清、说明或补正，直至满足评标委员会的要求。</w:t>
      </w:r>
    </w:p>
    <w:p>
      <w:pPr>
        <w:pStyle w:val="8"/>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 评标结果</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3.4.1除第二章“投标人须知”前附表授权直接确定中标人外，评标委员会按照得分由高到低的顺序推荐中标候选人。</w:t>
      </w:r>
    </w:p>
    <w:p>
      <w:pPr>
        <w:pageBreakBefore w:val="0"/>
        <w:widowControl w:val="0"/>
        <w:kinsoku/>
        <w:overflowPunct/>
        <w:topLinePunct w:val="0"/>
        <w:bidi w:val="0"/>
        <w:spacing w:beforeAutospacing="0" w:afterAutospacing="0"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3.4.2</w:t>
      </w:r>
      <w:r>
        <w:rPr>
          <w:rFonts w:hint="eastAsia" w:ascii="宋体" w:hAnsi="宋体" w:cs="宋体"/>
          <w:b/>
          <w:bCs/>
          <w:color w:val="auto"/>
          <w:sz w:val="24"/>
          <w:szCs w:val="24"/>
          <w:lang w:eastAsia="zh-CN"/>
        </w:rPr>
        <w:t>采购人</w:t>
      </w:r>
      <w:r>
        <w:rPr>
          <w:rFonts w:hint="eastAsia" w:ascii="宋体" w:hAnsi="宋体" w:eastAsia="宋体" w:cs="宋体"/>
          <w:b/>
          <w:bCs/>
          <w:color w:val="auto"/>
          <w:sz w:val="24"/>
          <w:szCs w:val="24"/>
        </w:rPr>
        <w:t>应当确定排名第一的中标候选人为中标人。当排名第一的中标候选人放弃中标、因不可抗力提出不能履行合同、不按照招标文件要求提交履约保证金，或者被查实存在影响中标结果的违法行为等情形，不符合中标条件的，</w:t>
      </w:r>
      <w:r>
        <w:rPr>
          <w:rFonts w:hint="eastAsia" w:ascii="宋体" w:hAnsi="宋体" w:cs="宋体"/>
          <w:b/>
          <w:bCs/>
          <w:color w:val="auto"/>
          <w:sz w:val="24"/>
          <w:szCs w:val="24"/>
          <w:lang w:eastAsia="zh-CN"/>
        </w:rPr>
        <w:t>采购人</w:t>
      </w:r>
      <w:r>
        <w:rPr>
          <w:rFonts w:hint="eastAsia" w:ascii="宋体" w:hAnsi="宋体" w:eastAsia="宋体" w:cs="宋体"/>
          <w:b/>
          <w:bCs/>
          <w:color w:val="auto"/>
          <w:sz w:val="24"/>
          <w:szCs w:val="24"/>
        </w:rPr>
        <w:t>可以按照评标委员会提出的中标候选人名单排序依次确定其他中标候选人为中标人，也可以重新招标。</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评标委员会完成评标后，应当向</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提交评标报告。</w:t>
      </w:r>
    </w:p>
    <w:p>
      <w:pPr>
        <w:pStyle w:val="7"/>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sectPr>
          <w:pgSz w:w="11907" w:h="16840"/>
          <w:pgMar w:top="1417" w:right="1417" w:bottom="1418" w:left="1417" w:header="851" w:footer="851" w:gutter="0"/>
          <w:pgNumType w:fmt="decimal"/>
          <w:cols w:space="720" w:num="1"/>
          <w:docGrid w:linePitch="312" w:charSpace="0"/>
        </w:sectPr>
      </w:pPr>
    </w:p>
    <w:p>
      <w:pPr>
        <w:pStyle w:val="7"/>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b w:val="0"/>
          <w:color w:val="000000"/>
          <w:sz w:val="24"/>
          <w:szCs w:val="24"/>
          <w:highlight w:val="none"/>
        </w:rPr>
        <w:t>附件B：废标条件</w:t>
      </w:r>
    </w:p>
    <w:p>
      <w:pPr>
        <w:pageBreakBefore w:val="0"/>
        <w:widowControl w:val="0"/>
        <w:kinsoku/>
        <w:overflowPunct/>
        <w:topLinePunct w:val="0"/>
        <w:bidi w:val="0"/>
        <w:adjustRightInd w:val="0"/>
        <w:snapToGrid w:val="0"/>
        <w:spacing w:beforeAutospacing="0" w:afterAutospacing="0" w:line="500" w:lineRule="exact"/>
        <w:ind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废  标  条  件</w:t>
      </w:r>
    </w:p>
    <w:p>
      <w:pPr>
        <w:pStyle w:val="8"/>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B0. 总  则</w:t>
      </w:r>
    </w:p>
    <w:p>
      <w:pPr>
        <w:pageBreakBefore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pStyle w:val="8"/>
        <w:pageBreakBefore w:val="0"/>
        <w:widowControl w:val="0"/>
        <w:kinsoku/>
        <w:overflowPunct/>
        <w:topLinePunct w:val="0"/>
        <w:bidi w:val="0"/>
        <w:spacing w:before="0" w:beforeAutospacing="0" w:after="0" w:afterAutospacing="0" w:line="500" w:lineRule="exact"/>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B1. 废标条件</w:t>
      </w:r>
    </w:p>
    <w:p>
      <w:pPr>
        <w:pageBreakBefore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投标人或其投标文件有下列情形之一的，其投标作废标处理：</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B1.1</w:t>
      </w:r>
      <w:r>
        <w:rPr>
          <w:rFonts w:hint="eastAsia" w:ascii="宋体" w:hAnsi="宋体" w:eastAsia="宋体" w:cs="宋体"/>
          <w:color w:val="000000"/>
          <w:sz w:val="24"/>
          <w:szCs w:val="24"/>
          <w:highlight w:val="none"/>
        </w:rPr>
        <w:t xml:space="preserve">  有第二章“投标人须知”正文部分第1.4.3项规定的任何一种情形的。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（1）为</w:t>
      </w:r>
      <w:r>
        <w:rPr>
          <w:rFonts w:hint="eastAsia" w:ascii="宋体" w:hAnsi="宋体" w:cs="宋体"/>
          <w:color w:val="auto"/>
          <w:sz w:val="24"/>
          <w:szCs w:val="32"/>
          <w:highlight w:val="none"/>
          <w:lang w:eastAsia="zh-CN"/>
        </w:rPr>
        <w:t>采购人</w:t>
      </w:r>
      <w:r>
        <w:rPr>
          <w:rFonts w:hint="eastAsia" w:ascii="宋体" w:hAnsi="宋体" w:eastAsia="宋体" w:cs="宋体"/>
          <w:color w:val="auto"/>
          <w:sz w:val="24"/>
          <w:szCs w:val="32"/>
          <w:highlight w:val="none"/>
        </w:rPr>
        <w:t xml:space="preserve">不具有独立法人资格的附属机构（单位）；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（2）为本标段前期准备提供设计或咨询服务的，但设计施工总承包的除外；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（3）为本标段的监理人；</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（4）为本标段的代建人；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（5）为本标段提供招标代理服务的；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（6）与本标段的监理人或代建人或</w:t>
      </w:r>
      <w:r>
        <w:rPr>
          <w:rFonts w:hint="eastAsia" w:ascii="宋体" w:hAnsi="宋体" w:cs="宋体"/>
          <w:color w:val="auto"/>
          <w:sz w:val="24"/>
          <w:szCs w:val="32"/>
          <w:highlight w:val="none"/>
          <w:lang w:eastAsia="zh-CN"/>
        </w:rPr>
        <w:t>采购代理机构</w:t>
      </w:r>
      <w:r>
        <w:rPr>
          <w:rFonts w:hint="eastAsia" w:ascii="宋体" w:hAnsi="宋体" w:eastAsia="宋体" w:cs="宋体"/>
          <w:color w:val="auto"/>
          <w:sz w:val="24"/>
          <w:szCs w:val="32"/>
          <w:highlight w:val="none"/>
        </w:rPr>
        <w:t>同为一个法定代表人的；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（7）与本标段的监理人或代建人或</w:t>
      </w:r>
      <w:r>
        <w:rPr>
          <w:rFonts w:hint="eastAsia" w:ascii="宋体" w:hAnsi="宋体" w:cs="宋体"/>
          <w:color w:val="auto"/>
          <w:sz w:val="24"/>
          <w:szCs w:val="32"/>
          <w:highlight w:val="none"/>
          <w:lang w:eastAsia="zh-CN"/>
        </w:rPr>
        <w:t>采购代理机构</w:t>
      </w:r>
      <w:r>
        <w:rPr>
          <w:rFonts w:hint="eastAsia" w:ascii="宋体" w:hAnsi="宋体" w:eastAsia="宋体" w:cs="宋体"/>
          <w:color w:val="auto"/>
          <w:sz w:val="24"/>
          <w:szCs w:val="32"/>
          <w:highlight w:val="none"/>
        </w:rPr>
        <w:t>相互控股或参股的；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（8）与本标段的监理人或代建人或</w:t>
      </w:r>
      <w:r>
        <w:rPr>
          <w:rFonts w:hint="eastAsia" w:ascii="宋体" w:hAnsi="宋体" w:cs="宋体"/>
          <w:color w:val="auto"/>
          <w:sz w:val="24"/>
          <w:szCs w:val="32"/>
          <w:highlight w:val="none"/>
          <w:lang w:eastAsia="zh-CN"/>
        </w:rPr>
        <w:t>采购代理机构</w:t>
      </w:r>
      <w:r>
        <w:rPr>
          <w:rFonts w:hint="eastAsia" w:ascii="宋体" w:hAnsi="宋体" w:eastAsia="宋体" w:cs="宋体"/>
          <w:color w:val="auto"/>
          <w:sz w:val="24"/>
          <w:szCs w:val="32"/>
          <w:highlight w:val="none"/>
        </w:rPr>
        <w:t>相互任职或工作的；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（9）被责令停业的；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（10）被暂停或取消投标资格的； </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（11）财产被接管或冻结的；</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（12）在最近三年内有骗取中标或严重违约或重大工程质量问题的。</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B1.2</w:t>
      </w:r>
      <w:r>
        <w:rPr>
          <w:rFonts w:hint="eastAsia" w:ascii="宋体" w:hAnsi="宋体" w:eastAsia="宋体" w:cs="宋体"/>
          <w:color w:val="000000"/>
          <w:sz w:val="24"/>
          <w:szCs w:val="24"/>
          <w:highlight w:val="none"/>
        </w:rPr>
        <w:t xml:space="preserve">  有串通投标或弄虚作假或有其他违法行为的。</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B1.3</w:t>
      </w:r>
      <w:r>
        <w:rPr>
          <w:rFonts w:hint="eastAsia" w:ascii="宋体" w:hAnsi="宋体" w:eastAsia="宋体" w:cs="宋体"/>
          <w:color w:val="000000"/>
          <w:sz w:val="24"/>
          <w:szCs w:val="24"/>
          <w:highlight w:val="none"/>
        </w:rPr>
        <w:t xml:space="preserve">  不按评标委员会要求澄清、说明或补正的。</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B1.4</w:t>
      </w:r>
      <w:r>
        <w:rPr>
          <w:rFonts w:hint="eastAsia" w:ascii="宋体" w:hAnsi="宋体" w:eastAsia="宋体" w:cs="宋体"/>
          <w:color w:val="000000"/>
          <w:sz w:val="24"/>
          <w:szCs w:val="24"/>
          <w:highlight w:val="none"/>
        </w:rPr>
        <w:t xml:space="preserve">  在形式评审、资格评审、响应性评审中，评标委员会认定投标人的投标不符合评标办法前附表中规定的任何一项评审标准的。</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B1.5 </w:t>
      </w:r>
      <w:r>
        <w:rPr>
          <w:rFonts w:hint="eastAsia" w:ascii="宋体" w:hAnsi="宋体" w:eastAsia="宋体" w:cs="宋体"/>
          <w:color w:val="000000"/>
          <w:sz w:val="24"/>
          <w:szCs w:val="24"/>
          <w:highlight w:val="none"/>
        </w:rPr>
        <w:t>未按招标文件规定编制各项报价的。</w:t>
      </w:r>
    </w:p>
    <w:p>
      <w:pPr>
        <w:pageBreakBefore w:val="0"/>
        <w:widowControl w:val="0"/>
        <w:kinsoku/>
        <w:overflowPunct/>
        <w:topLinePunct w:val="0"/>
        <w:bidi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B1.6</w:t>
      </w:r>
      <w:r>
        <w:rPr>
          <w:rFonts w:hint="eastAsia" w:ascii="宋体" w:hAnsi="宋体" w:eastAsia="宋体" w:cs="宋体"/>
          <w:color w:val="000000"/>
          <w:sz w:val="24"/>
          <w:szCs w:val="24"/>
          <w:highlight w:val="none"/>
        </w:rPr>
        <w:t xml:space="preserve"> 投标报价有算术错误的，评标委员会按以下原则对投标报价进行修正，修正的价格经投标人确认后具有约束力。投标人不接受修正价格的，其投标作废标处理。</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（1）投标文件中的大写金额与小写金额不一致的，以大写金额为准；</w:t>
      </w:r>
    </w:p>
    <w:p>
      <w:pPr>
        <w:pageBreakBefore w:val="0"/>
        <w:widowControl w:val="0"/>
        <w:kinsoku/>
        <w:overflowPunct/>
        <w:topLinePunct w:val="0"/>
        <w:bidi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（2）总价金额与依据单价计算出的结果不一致的，以单价金额为准修正总价，但单价金额小数点有明显错误的除外。</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B1.7 </w:t>
      </w:r>
      <w:r>
        <w:rPr>
          <w:rFonts w:hint="eastAsia" w:ascii="宋体" w:hAnsi="宋体" w:eastAsia="宋体" w:cs="宋体"/>
          <w:color w:val="000000"/>
          <w:sz w:val="24"/>
          <w:szCs w:val="24"/>
          <w:highlight w:val="none"/>
        </w:rPr>
        <w:t xml:space="preserve">规费和税金、安全文明施工措施费违背工程造价管理规定的。 </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B1.8</w:t>
      </w:r>
      <w:r>
        <w:rPr>
          <w:rFonts w:hint="eastAsia" w:ascii="宋体" w:hAnsi="宋体" w:eastAsia="宋体" w:cs="宋体"/>
          <w:color w:val="000000"/>
          <w:sz w:val="24"/>
          <w:szCs w:val="24"/>
          <w:highlight w:val="none"/>
        </w:rPr>
        <w:t>分部分项工程项目、措施项目报价中的项目编码、项目名称、项目特征、计量单位和工程量与招标文件的清单不一致的。</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 xml:space="preserve">B1.9 </w:t>
      </w:r>
      <w:r>
        <w:rPr>
          <w:rFonts w:hint="eastAsia" w:ascii="宋体" w:hAnsi="宋体" w:eastAsia="宋体" w:cs="宋体"/>
          <w:color w:val="000000"/>
          <w:sz w:val="24"/>
          <w:szCs w:val="24"/>
          <w:highlight w:val="none"/>
        </w:rPr>
        <w:t>未按照暂列金额或者暂估价编制投标报价的。</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B1.10</w:t>
      </w:r>
      <w:r>
        <w:rPr>
          <w:rFonts w:hint="eastAsia" w:ascii="宋体" w:hAnsi="宋体" w:eastAsia="宋体" w:cs="宋体"/>
          <w:color w:val="000000"/>
          <w:sz w:val="24"/>
          <w:szCs w:val="24"/>
          <w:highlight w:val="none"/>
        </w:rPr>
        <w:t xml:space="preserve"> 投标报价高于招标控制价或评标委员会认定投标人以低于成本报价竞标的。</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color w:val="000000"/>
          <w:sz w:val="24"/>
          <w:szCs w:val="24"/>
          <w:highlight w:val="none"/>
        </w:rPr>
        <w:t xml:space="preserve">B1.11 </w:t>
      </w:r>
      <w:r>
        <w:rPr>
          <w:rFonts w:hint="eastAsia" w:ascii="宋体" w:hAnsi="宋体" w:eastAsia="宋体" w:cs="宋体"/>
          <w:color w:val="000000"/>
          <w:sz w:val="24"/>
          <w:szCs w:val="24"/>
          <w:highlight w:val="none"/>
        </w:rPr>
        <w:t>投标人提交的投标文件电子版格式不符合第二章“投标人须知前</w:t>
      </w:r>
      <w:r>
        <w:rPr>
          <w:rFonts w:hint="eastAsia" w:ascii="宋体" w:hAnsi="宋体" w:eastAsia="宋体" w:cs="宋体"/>
          <w:color w:val="auto"/>
          <w:sz w:val="24"/>
          <w:szCs w:val="24"/>
          <w:highlight w:val="none"/>
        </w:rPr>
        <w:t>附表</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3.7.1</w:t>
      </w:r>
      <w:r>
        <w:rPr>
          <w:rFonts w:hint="eastAsia" w:ascii="宋体" w:hAnsi="宋体" w:eastAsia="宋体" w:cs="宋体"/>
          <w:b w:val="0"/>
          <w:bCs w:val="0"/>
          <w:color w:val="auto"/>
          <w:sz w:val="24"/>
          <w:szCs w:val="24"/>
          <w:highlight w:val="none"/>
        </w:rPr>
        <w:t>项规定的。</w:t>
      </w:r>
    </w:p>
    <w:p>
      <w:pPr>
        <w:pageBreakBefore w:val="0"/>
        <w:widowControl w:val="0"/>
        <w:kinsoku/>
        <w:overflowPunct/>
        <w:topLinePunct w:val="0"/>
        <w:bidi w:val="0"/>
        <w:adjustRightInd w:val="0"/>
        <w:snapToGrid w:val="0"/>
        <w:spacing w:beforeAutospacing="0" w:afterAutospacing="0"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B1.12</w:t>
      </w:r>
      <w:r>
        <w:rPr>
          <w:rFonts w:hint="eastAsia" w:ascii="宋体" w:hAnsi="宋体" w:eastAsia="宋体" w:cs="宋体"/>
          <w:color w:val="auto"/>
          <w:sz w:val="24"/>
          <w:szCs w:val="24"/>
          <w:highlight w:val="none"/>
        </w:rPr>
        <w:t>不同投标人使用同一台计算机编制投标文件的。</w:t>
      </w:r>
    </w:p>
    <w:p>
      <w:pPr>
        <w:pageBreakBefore w:val="0"/>
        <w:widowControl w:val="0"/>
        <w:kinsoku/>
        <w:overflowPunct/>
        <w:topLinePunct w:val="0"/>
        <w:bidi w:val="0"/>
        <w:spacing w:beforeAutospacing="0" w:afterAutospacing="0" w:line="50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color w:val="auto"/>
          <w:sz w:val="24"/>
          <w:szCs w:val="24"/>
          <w:highlight w:val="none"/>
        </w:rPr>
        <w:t>B1.1</w:t>
      </w:r>
      <w:r>
        <w:rPr>
          <w:rFonts w:hint="eastAsia" w:ascii="宋体" w:hAnsi="宋体" w:eastAsia="宋体" w:cs="宋体"/>
          <w:b/>
          <w:color w:val="auto"/>
          <w:sz w:val="24"/>
          <w:szCs w:val="24"/>
          <w:highlight w:val="none"/>
          <w:lang w:val="en-US" w:eastAsia="zh-CN"/>
        </w:rPr>
        <w:t>3</w:t>
      </w:r>
      <w:r>
        <w:rPr>
          <w:rFonts w:hint="eastAsia" w:ascii="宋体" w:hAnsi="宋体" w:eastAsia="宋体" w:cs="宋体"/>
          <w:color w:val="auto"/>
          <w:sz w:val="24"/>
          <w:szCs w:val="24"/>
          <w:highlight w:val="none"/>
        </w:rPr>
        <w:t>投标人在“信用中国”网站（www.creditchina.gov.cn）上，被列为</w:t>
      </w:r>
      <w:r>
        <w:rPr>
          <w:rFonts w:hint="eastAsia" w:ascii="宋体" w:hAnsi="宋体" w:eastAsia="宋体" w:cs="宋体"/>
          <w:b w:val="0"/>
          <w:bCs w:val="0"/>
          <w:color w:val="auto"/>
          <w:sz w:val="24"/>
          <w:szCs w:val="24"/>
          <w:highlight w:val="none"/>
        </w:rPr>
        <w:t>失信</w:t>
      </w:r>
      <w:r>
        <w:rPr>
          <w:rFonts w:hint="eastAsia" w:ascii="宋体" w:hAnsi="宋体" w:eastAsia="宋体" w:cs="宋体"/>
          <w:b w:val="0"/>
          <w:bCs w:val="0"/>
          <w:color w:val="auto"/>
          <w:sz w:val="24"/>
          <w:szCs w:val="24"/>
          <w:highlight w:val="none"/>
          <w:lang w:eastAsia="zh-CN"/>
        </w:rPr>
        <w:t>惩戒查询对象</w:t>
      </w:r>
      <w:r>
        <w:rPr>
          <w:rFonts w:hint="eastAsia" w:ascii="宋体" w:hAnsi="宋体" w:eastAsia="宋体" w:cs="宋体"/>
          <w:b w:val="0"/>
          <w:bCs w:val="0"/>
          <w:color w:val="auto"/>
          <w:sz w:val="24"/>
          <w:szCs w:val="24"/>
          <w:highlight w:val="none"/>
        </w:rPr>
        <w:t>的。</w:t>
      </w:r>
    </w:p>
    <w:p>
      <w:pPr>
        <w:pageBreakBefore w:val="0"/>
        <w:widowControl w:val="0"/>
        <w:kinsoku/>
        <w:overflowPunct/>
        <w:topLinePunct w:val="0"/>
        <w:bidi w:val="0"/>
        <w:spacing w:beforeAutospacing="0" w:afterAutospacing="0" w:line="50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B1.14</w:t>
      </w:r>
      <w:r>
        <w:rPr>
          <w:rFonts w:hint="eastAsia" w:ascii="宋体" w:hAnsi="宋体" w:eastAsia="宋体" w:cs="宋体"/>
          <w:b w:val="0"/>
          <w:bCs w:val="0"/>
          <w:color w:val="auto"/>
          <w:sz w:val="24"/>
          <w:szCs w:val="24"/>
          <w:highlight w:val="none"/>
          <w:lang w:val="en-US" w:eastAsia="zh-CN"/>
        </w:rPr>
        <w:t>投标人标书雷同性分析：文件制作机器码、文件创建标识码有相同的。</w:t>
      </w:r>
    </w:p>
    <w:p>
      <w:pPr>
        <w:pageBreakBefore w:val="0"/>
        <w:widowControl w:val="0"/>
        <w:kinsoku/>
        <w:overflowPunct/>
        <w:topLinePunct w:val="0"/>
        <w:bidi w:val="0"/>
        <w:spacing w:beforeAutospacing="0" w:afterAutospacing="0" w:line="5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B1.15</w:t>
      </w:r>
      <w:r>
        <w:rPr>
          <w:rFonts w:hint="eastAsia" w:ascii="宋体" w:hAnsi="宋体" w:eastAsia="宋体" w:cs="宋体"/>
          <w:color w:val="auto"/>
          <w:sz w:val="24"/>
          <w:szCs w:val="24"/>
          <w:highlight w:val="none"/>
          <w:lang w:val="en-US" w:eastAsia="zh-CN"/>
        </w:rPr>
        <w:t>投标文件没有对招标文件的实质性要求和条件作出响应。</w:t>
      </w:r>
    </w:p>
    <w:p>
      <w:pPr>
        <w:pStyle w:val="2"/>
        <w:pageBreakBefore w:val="0"/>
        <w:widowControl w:val="0"/>
        <w:kinsoku/>
        <w:overflowPunct/>
        <w:topLinePunct w:val="0"/>
        <w:bidi w:val="0"/>
        <w:spacing w:beforeAutospacing="0" w:after="0" w:afterAutospacing="0"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p>
    <w:p>
      <w:pPr>
        <w:pageBreakBefore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备注：如果工程所在地管理规定要求评标委员会对判定为废标的投标文件说明废标情况的，应增加“废标情况说明表”格式，废标情况说明应当对照招标文件规定的废标条件以及投标文件存在的具体问题。</w:t>
      </w:r>
    </w:p>
    <w:p>
      <w:pPr>
        <w:pStyle w:val="2"/>
        <w:rPr>
          <w:rFonts w:hint="eastAsia" w:ascii="宋体" w:hAnsi="宋体" w:eastAsia="宋体" w:cs="宋体"/>
          <w:color w:val="auto"/>
          <w:highlight w:val="none"/>
        </w:rPr>
      </w:pPr>
    </w:p>
    <w:p>
      <w:pPr>
        <w:spacing w:beforeAutospacing="0" w:afterAutospacing="0" w:line="400" w:lineRule="exact"/>
        <w:ind w:firstLine="420" w:firstLineChars="200"/>
        <w:rPr>
          <w:rFonts w:hint="eastAsia" w:ascii="宋体" w:hAnsi="宋体" w:eastAsia="宋体" w:cs="宋体"/>
          <w:color w:val="auto"/>
          <w:highlight w:val="none"/>
        </w:rPr>
      </w:pPr>
    </w:p>
    <w:p>
      <w:pPr>
        <w:spacing w:beforeAutospacing="0" w:afterAutospacing="0" w:line="400" w:lineRule="exact"/>
        <w:ind w:firstLine="420" w:firstLineChars="200"/>
        <w:rPr>
          <w:rFonts w:hint="eastAsia" w:ascii="宋体" w:hAnsi="宋体" w:eastAsia="宋体" w:cs="宋体"/>
          <w:color w:val="auto"/>
          <w:highlight w:val="none"/>
        </w:rPr>
      </w:pPr>
    </w:p>
    <w:p>
      <w:pPr>
        <w:adjustRightInd w:val="0"/>
        <w:snapToGrid w:val="0"/>
        <w:spacing w:beforeAutospacing="0" w:afterAutospacing="0" w:line="440" w:lineRule="exact"/>
        <w:rPr>
          <w:rFonts w:hint="eastAsia" w:ascii="宋体" w:hAnsi="宋体" w:eastAsia="宋体" w:cs="宋体"/>
          <w:color w:val="auto"/>
          <w:szCs w:val="21"/>
          <w:highlight w:val="none"/>
        </w:rPr>
        <w:sectPr>
          <w:pgSz w:w="11907" w:h="16840"/>
          <w:pgMar w:top="1417" w:right="1417" w:bottom="1418" w:left="1417" w:header="851" w:footer="851" w:gutter="0"/>
          <w:pgNumType w:fmt="decimal"/>
          <w:cols w:space="720" w:num="1"/>
          <w:docGrid w:linePitch="312" w:charSpace="0"/>
        </w:sectPr>
      </w:pPr>
    </w:p>
    <w:p>
      <w:pPr>
        <w:pStyle w:val="4"/>
        <w:bidi w:val="0"/>
        <w:spacing w:beforeAutospacing="0" w:afterAutospacing="0" w:line="240" w:lineRule="auto"/>
        <w:ind w:firstLine="442" w:firstLineChars="100"/>
        <w:jc w:val="both"/>
        <w:outlineLvl w:val="0"/>
        <w:rPr>
          <w:rFonts w:hint="eastAsia" w:ascii="宋体" w:hAnsi="宋体" w:eastAsia="宋体" w:cs="宋体"/>
          <w:lang w:eastAsia="zh-CN"/>
        </w:rPr>
      </w:pPr>
      <w:bookmarkStart w:id="360" w:name="_Toc516822650"/>
      <w:bookmarkEnd w:id="360"/>
      <w:bookmarkStart w:id="361" w:name="_Toc26459"/>
      <w:bookmarkEnd w:id="361"/>
      <w:bookmarkStart w:id="362" w:name="_Toc17165"/>
      <w:bookmarkEnd w:id="362"/>
      <w:r>
        <w:rPr>
          <w:rFonts w:hint="eastAsia" w:ascii="宋体" w:hAnsi="宋体" w:cs="宋体"/>
          <w:lang w:val="en-US" w:eastAsia="zh-CN"/>
        </w:rPr>
        <w:t xml:space="preserve">    </w:t>
      </w:r>
      <w:r>
        <w:rPr>
          <w:rFonts w:hint="eastAsia" w:ascii="宋体" w:hAnsi="宋体" w:eastAsia="宋体" w:cs="宋体"/>
          <w:sz w:val="36"/>
          <w:szCs w:val="36"/>
          <w:lang w:val="en-US" w:eastAsia="zh-CN"/>
        </w:rPr>
        <w:t xml:space="preserve">  </w:t>
      </w:r>
      <w:r>
        <w:rPr>
          <w:rFonts w:hint="eastAsia" w:ascii="宋体" w:hAnsi="宋体" w:cs="宋体"/>
          <w:sz w:val="36"/>
          <w:szCs w:val="36"/>
          <w:lang w:val="en-US" w:eastAsia="zh-CN"/>
        </w:rPr>
        <w:t xml:space="preserve">     </w:t>
      </w:r>
      <w:bookmarkStart w:id="363" w:name="_Toc11383"/>
      <w:r>
        <w:rPr>
          <w:rFonts w:hint="eastAsia" w:ascii="宋体" w:hAnsi="宋体" w:eastAsia="宋体" w:cs="宋体"/>
          <w:sz w:val="36"/>
          <w:szCs w:val="36"/>
          <w:lang w:eastAsia="zh-CN"/>
        </w:rPr>
        <w:t>第四章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合同条款及格式</w:t>
      </w:r>
      <w:bookmarkEnd w:id="363"/>
    </w:p>
    <w:p>
      <w:pPr>
        <w:pStyle w:val="6"/>
        <w:jc w:val="center"/>
        <w:rPr>
          <w:rFonts w:hint="eastAsia" w:ascii="宋体" w:hAnsi="宋体" w:eastAsia="宋体" w:cs="宋体"/>
          <w:color w:val="auto"/>
          <w:sz w:val="24"/>
          <w:szCs w:val="24"/>
          <w:highlight w:val="none"/>
          <w:lang w:eastAsia="zh-CN"/>
        </w:rPr>
      </w:pPr>
      <w:bookmarkStart w:id="364" w:name="_Toc18057"/>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bookmarkStart w:id="365" w:name="_Toc31042"/>
      <w:bookmarkStart w:id="366" w:name="_Toc6933"/>
      <w:r>
        <w:rPr>
          <w:rFonts w:hint="eastAsia" w:ascii="宋体" w:hAnsi="宋体" w:eastAsia="宋体" w:cs="宋体"/>
          <w:color w:val="auto"/>
          <w:sz w:val="24"/>
          <w:szCs w:val="24"/>
          <w:highlight w:val="none"/>
          <w:lang w:eastAsia="zh-CN"/>
        </w:rPr>
        <w:t>（仅为格式，</w:t>
      </w:r>
      <w:r>
        <w:rPr>
          <w:rFonts w:hint="eastAsia" w:ascii="宋体" w:hAnsi="宋体" w:cs="宋体"/>
          <w:color w:val="auto"/>
          <w:sz w:val="24"/>
          <w:szCs w:val="24"/>
          <w:highlight w:val="none"/>
          <w:lang w:val="en-US" w:eastAsia="zh-CN"/>
        </w:rPr>
        <w:t>以双方</w:t>
      </w:r>
      <w:r>
        <w:rPr>
          <w:rFonts w:hint="eastAsia" w:ascii="宋体" w:hAnsi="宋体" w:eastAsia="宋体" w:cs="宋体"/>
          <w:color w:val="auto"/>
          <w:sz w:val="24"/>
          <w:szCs w:val="24"/>
          <w:highlight w:val="none"/>
          <w:lang w:eastAsia="zh-CN"/>
        </w:rPr>
        <w:t>实际签订为</w:t>
      </w:r>
      <w:r>
        <w:rPr>
          <w:rFonts w:hint="eastAsia" w:ascii="宋体" w:hAnsi="宋体" w:cs="宋体"/>
          <w:color w:val="auto"/>
          <w:sz w:val="24"/>
          <w:szCs w:val="24"/>
          <w:highlight w:val="none"/>
          <w:lang w:eastAsia="zh-CN"/>
        </w:rPr>
        <w:t>准</w:t>
      </w:r>
      <w:r>
        <w:rPr>
          <w:rFonts w:hint="eastAsia" w:ascii="宋体" w:hAnsi="宋体" w:eastAsia="宋体" w:cs="宋体"/>
          <w:color w:val="auto"/>
          <w:sz w:val="24"/>
          <w:szCs w:val="24"/>
          <w:highlight w:val="none"/>
          <w:lang w:eastAsia="zh-CN"/>
        </w:rPr>
        <w:t>）</w:t>
      </w:r>
      <w:bookmarkEnd w:id="364"/>
      <w:bookmarkEnd w:id="365"/>
      <w:bookmarkEnd w:id="366"/>
    </w:p>
    <w:p>
      <w:pPr>
        <w:pStyle w:val="6"/>
        <w:pageBreakBefore w:val="0"/>
        <w:widowControl w:val="0"/>
        <w:kinsoku/>
        <w:wordWrap/>
        <w:overflowPunct/>
        <w:topLinePunct w:val="0"/>
        <w:bidi w:val="0"/>
        <w:snapToGrid/>
        <w:spacing w:line="360" w:lineRule="auto"/>
        <w:ind w:right="0" w:rightChars="0"/>
        <w:jc w:val="center"/>
        <w:textAlignment w:val="auto"/>
        <w:rPr>
          <w:rFonts w:hint="eastAsia" w:ascii="宋体" w:hAnsi="宋体" w:eastAsia="宋体" w:cs="宋体"/>
          <w:b w:val="0"/>
          <w:color w:val="000000"/>
          <w:sz w:val="24"/>
          <w:szCs w:val="24"/>
        </w:rPr>
      </w:pPr>
      <w:bookmarkStart w:id="367" w:name="_Toc11922"/>
      <w:bookmarkStart w:id="368" w:name="_Toc28498"/>
      <w:bookmarkStart w:id="369" w:name="_Toc18843"/>
      <w:bookmarkStart w:id="370" w:name="_Toc24544"/>
      <w:bookmarkStart w:id="371" w:name="_Toc6108"/>
      <w:r>
        <w:rPr>
          <w:rFonts w:hint="eastAsia" w:ascii="宋体" w:hAnsi="宋体" w:eastAsia="宋体" w:cs="宋体"/>
          <w:sz w:val="24"/>
          <w:szCs w:val="24"/>
        </w:rPr>
        <w:t>第一部分 合同协议书</w:t>
      </w:r>
      <w:bookmarkEnd w:id="367"/>
      <w:bookmarkEnd w:id="368"/>
      <w:bookmarkEnd w:id="369"/>
      <w:bookmarkEnd w:id="370"/>
      <w:bookmarkEnd w:id="371"/>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       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        </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372" w:name="_Toc351203481"/>
      <w:r>
        <w:rPr>
          <w:rFonts w:hint="eastAsia" w:ascii="宋体" w:hAnsi="宋体" w:eastAsia="宋体" w:cs="宋体"/>
          <w:b w:val="0"/>
          <w:color w:val="000000"/>
          <w:sz w:val="24"/>
          <w:szCs w:val="24"/>
        </w:rPr>
        <w:t>一、工程概况</w:t>
      </w:r>
      <w:bookmarkEnd w:id="372"/>
    </w:p>
    <w:p>
      <w:pPr>
        <w:pageBreakBefore w:val="0"/>
        <w:widowControl w:val="0"/>
        <w:kinsoku/>
        <w:wordWrap/>
        <w:overflowPunct/>
        <w:topLinePunct w:val="0"/>
        <w:bidi w:val="0"/>
        <w:snapToGrid/>
        <w:spacing w:line="360" w:lineRule="auto"/>
        <w:ind w:right="0" w:rightChars="0" w:firstLine="470" w:firstLineChars="196"/>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auto"/>
        <w:ind w:right="0" w:rightChars="0"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360" w:lineRule="auto"/>
        <w:ind w:right="0" w:rightChars="0"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pPr>
        <w:pageBreakBefore w:val="0"/>
        <w:widowControl w:val="0"/>
        <w:kinsoku/>
        <w:wordWrap/>
        <w:overflowPunct/>
        <w:topLinePunct w:val="0"/>
        <w:bidi w:val="0"/>
        <w:snapToGrid/>
        <w:spacing w:line="360" w:lineRule="auto"/>
        <w:ind w:right="0" w:rightChars="0"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pPr>
        <w:pageBreakBefore w:val="0"/>
        <w:widowControl w:val="0"/>
        <w:kinsoku/>
        <w:wordWrap/>
        <w:overflowPunct/>
        <w:topLinePunct w:val="0"/>
        <w:bidi w:val="0"/>
        <w:snapToGrid/>
        <w:spacing w:line="360" w:lineRule="auto"/>
        <w:ind w:right="0" w:rightChars="0"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pPr>
        <w:pageBreakBefore w:val="0"/>
        <w:widowControl w:val="0"/>
        <w:kinsoku/>
        <w:wordWrap/>
        <w:overflowPunct/>
        <w:topLinePunct w:val="0"/>
        <w:bidi w:val="0"/>
        <w:snapToGrid/>
        <w:spacing w:line="360" w:lineRule="auto"/>
        <w:ind w:right="0" w:rightChars="0" w:firstLine="470" w:firstLineChars="196"/>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pPr>
        <w:pageBreakBefore w:val="0"/>
        <w:widowControl w:val="0"/>
        <w:kinsoku/>
        <w:wordWrap/>
        <w:overflowPunct/>
        <w:topLinePunct w:val="0"/>
        <w:bidi w:val="0"/>
        <w:snapToGrid/>
        <w:spacing w:line="360" w:lineRule="auto"/>
        <w:ind w:right="0" w:rightChars="0"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6.工程承包范围：</w:t>
      </w:r>
    </w:p>
    <w:p>
      <w:pPr>
        <w:pageBreakBefore w:val="0"/>
        <w:widowControl w:val="0"/>
        <w:kinsoku/>
        <w:wordWrap/>
        <w:overflowPunct/>
        <w:topLinePunct w:val="0"/>
        <w:bidi w:val="0"/>
        <w:snapToGrid/>
        <w:spacing w:line="360" w:lineRule="auto"/>
        <w:ind w:right="0" w:rightChars="0" w:firstLine="463" w:firstLineChars="193"/>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373" w:name="_Toc351203482"/>
      <w:r>
        <w:rPr>
          <w:rFonts w:hint="eastAsia" w:ascii="宋体" w:hAnsi="宋体" w:eastAsia="宋体" w:cs="宋体"/>
          <w:b w:val="0"/>
          <w:color w:val="000000"/>
          <w:sz w:val="24"/>
          <w:szCs w:val="24"/>
        </w:rPr>
        <w:t>二、合同工期</w:t>
      </w:r>
      <w:bookmarkEnd w:id="373"/>
    </w:p>
    <w:p>
      <w:pPr>
        <w:pageBreakBefore w:val="0"/>
        <w:widowControl w:val="0"/>
        <w:kinsoku/>
        <w:wordWrap/>
        <w:overflowPunct/>
        <w:topLinePunct w:val="0"/>
        <w:bidi w:val="0"/>
        <w:snapToGrid/>
        <w:spacing w:line="360" w:lineRule="auto"/>
        <w:ind w:right="0" w:rightChars="0"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pPr>
        <w:pageBreakBefore w:val="0"/>
        <w:widowControl w:val="0"/>
        <w:kinsoku/>
        <w:wordWrap/>
        <w:overflowPunct/>
        <w:topLinePunct w:val="0"/>
        <w:bidi w:val="0"/>
        <w:snapToGrid/>
        <w:spacing w:line="360" w:lineRule="auto"/>
        <w:ind w:right="0" w:rightChars="0"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pPr>
        <w:pageBreakBefore w:val="0"/>
        <w:widowControl w:val="0"/>
        <w:kinsoku/>
        <w:wordWrap/>
        <w:overflowPunct/>
        <w:topLinePunct w:val="0"/>
        <w:bidi w:val="0"/>
        <w:snapToGrid/>
        <w:spacing w:line="360" w:lineRule="auto"/>
        <w:ind w:right="0" w:rightChars="0"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天。工期总日历天数与根据前述计划开竣工日期计算的工期天数不一致的，以工期总日历天数为准。</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374" w:name="_Toc351203483"/>
      <w:r>
        <w:rPr>
          <w:rFonts w:hint="eastAsia" w:ascii="宋体" w:hAnsi="宋体" w:eastAsia="宋体" w:cs="宋体"/>
          <w:b w:val="0"/>
          <w:color w:val="000000"/>
          <w:sz w:val="24"/>
          <w:szCs w:val="24"/>
        </w:rPr>
        <w:t>三、质量标准</w:t>
      </w:r>
      <w:bookmarkEnd w:id="374"/>
    </w:p>
    <w:p>
      <w:pPr>
        <w:pageBreakBefore w:val="0"/>
        <w:widowControl w:val="0"/>
        <w:kinsoku/>
        <w:wordWrap/>
        <w:overflowPunct/>
        <w:topLinePunct w:val="0"/>
        <w:bidi w:val="0"/>
        <w:snapToGrid/>
        <w:spacing w:line="360" w:lineRule="auto"/>
        <w:ind w:right="0" w:rightChars="0"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375" w:name="_Toc351203484"/>
      <w:r>
        <w:rPr>
          <w:rFonts w:hint="eastAsia" w:ascii="宋体" w:hAnsi="宋体" w:eastAsia="宋体" w:cs="宋体"/>
          <w:b w:val="0"/>
          <w:color w:val="000000"/>
          <w:sz w:val="24"/>
          <w:szCs w:val="24"/>
        </w:rPr>
        <w:t>四、签约合同价与合同价格形式</w:t>
      </w:r>
      <w:bookmarkEnd w:id="375"/>
      <w:r>
        <w:rPr>
          <w:rFonts w:hint="eastAsia" w:ascii="宋体" w:hAnsi="宋体" w:eastAsia="宋体" w:cs="宋体"/>
          <w:b w:val="0"/>
          <w:color w:val="000000"/>
          <w:sz w:val="24"/>
          <w:szCs w:val="24"/>
        </w:rPr>
        <w:tab/>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pPr>
        <w:pageBreakBefore w:val="0"/>
        <w:widowControl w:val="0"/>
        <w:kinsoku/>
        <w:wordWrap/>
        <w:overflowPunct/>
        <w:topLinePunct w:val="0"/>
        <w:bidi w:val="0"/>
        <w:snapToGrid/>
        <w:spacing w:line="360" w:lineRule="auto"/>
        <w:ind w:right="0" w:rightChars="0"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pPr>
        <w:pageBreakBefore w:val="0"/>
        <w:widowControl w:val="0"/>
        <w:kinsoku/>
        <w:wordWrap/>
        <w:overflowPunct/>
        <w:topLinePunct w:val="0"/>
        <w:bidi w:val="0"/>
        <w:snapToGrid/>
        <w:spacing w:line="360" w:lineRule="auto"/>
        <w:ind w:right="0" w:rightChars="0"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pPr>
        <w:pageBreakBefore w:val="0"/>
        <w:widowControl w:val="0"/>
        <w:kinsoku/>
        <w:wordWrap/>
        <w:overflowPunct/>
        <w:topLinePunct w:val="0"/>
        <w:bidi w:val="0"/>
        <w:snapToGrid/>
        <w:spacing w:line="360" w:lineRule="auto"/>
        <w:ind w:right="0" w:rightChars="0"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pPr>
        <w:pageBreakBefore w:val="0"/>
        <w:widowControl w:val="0"/>
        <w:kinsoku/>
        <w:wordWrap/>
        <w:overflowPunct/>
        <w:topLinePunct w:val="0"/>
        <w:bidi w:val="0"/>
        <w:snapToGrid/>
        <w:spacing w:line="360" w:lineRule="auto"/>
        <w:ind w:right="0" w:rightChars="0"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pPr>
        <w:pageBreakBefore w:val="0"/>
        <w:widowControl w:val="0"/>
        <w:kinsoku/>
        <w:wordWrap/>
        <w:overflowPunct/>
        <w:topLinePunct w:val="0"/>
        <w:bidi w:val="0"/>
        <w:snapToGrid/>
        <w:spacing w:line="360" w:lineRule="auto"/>
        <w:ind w:right="0" w:rightChars="0"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376" w:name="_Toc351203485"/>
      <w:r>
        <w:rPr>
          <w:rFonts w:hint="eastAsia" w:ascii="宋体" w:hAnsi="宋体" w:eastAsia="宋体" w:cs="宋体"/>
          <w:b w:val="0"/>
          <w:color w:val="000000"/>
          <w:sz w:val="24"/>
          <w:szCs w:val="24"/>
        </w:rPr>
        <w:t>五、</w:t>
      </w:r>
      <w:bookmarkEnd w:id="376"/>
      <w:r>
        <w:rPr>
          <w:rFonts w:hint="eastAsia" w:ascii="宋体" w:hAnsi="宋体" w:eastAsia="宋体" w:cs="宋体"/>
          <w:b w:val="0"/>
          <w:color w:val="000000"/>
          <w:sz w:val="24"/>
          <w:szCs w:val="24"/>
        </w:rPr>
        <w:t>项目经理</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377" w:name="_Toc351203486"/>
      <w:r>
        <w:rPr>
          <w:rFonts w:hint="eastAsia" w:ascii="宋体" w:hAnsi="宋体" w:eastAsia="宋体" w:cs="宋体"/>
          <w:b w:val="0"/>
          <w:color w:val="000000"/>
          <w:sz w:val="24"/>
          <w:szCs w:val="24"/>
        </w:rPr>
        <w:t>六、合同文件构成</w:t>
      </w:r>
      <w:bookmarkEnd w:id="377"/>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378" w:name="_Toc351203487"/>
      <w:r>
        <w:rPr>
          <w:rFonts w:hint="eastAsia" w:ascii="宋体" w:hAnsi="宋体" w:eastAsia="宋体" w:cs="宋体"/>
          <w:b w:val="0"/>
          <w:color w:val="000000"/>
          <w:sz w:val="24"/>
          <w:szCs w:val="24"/>
        </w:rPr>
        <w:t>七、承诺</w:t>
      </w:r>
      <w:bookmarkEnd w:id="378"/>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bCs/>
          <w:color w:val="000000"/>
          <w:sz w:val="24"/>
          <w:szCs w:val="24"/>
        </w:rPr>
      </w:pPr>
      <w:bookmarkStart w:id="379" w:name="_Toc351203488"/>
      <w:r>
        <w:rPr>
          <w:rFonts w:hint="eastAsia" w:ascii="宋体" w:hAnsi="宋体" w:eastAsia="宋体" w:cs="宋体"/>
          <w:b/>
          <w:color w:val="000000"/>
          <w:sz w:val="24"/>
          <w:szCs w:val="24"/>
        </w:rPr>
        <w:t xml:space="preserve">    八、词语含义</w:t>
      </w:r>
      <w:bookmarkEnd w:id="379"/>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380" w:name="_Toc351203489"/>
      <w:r>
        <w:rPr>
          <w:rFonts w:hint="eastAsia" w:ascii="宋体" w:hAnsi="宋体" w:eastAsia="宋体" w:cs="宋体"/>
          <w:b w:val="0"/>
          <w:color w:val="000000"/>
          <w:sz w:val="24"/>
          <w:szCs w:val="24"/>
        </w:rPr>
        <w:t>九、签订时间</w:t>
      </w:r>
      <w:bookmarkEnd w:id="380"/>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381" w:name="_Toc351203490"/>
      <w:r>
        <w:rPr>
          <w:rFonts w:hint="eastAsia" w:ascii="宋体" w:hAnsi="宋体" w:eastAsia="宋体" w:cs="宋体"/>
          <w:b w:val="0"/>
          <w:color w:val="000000"/>
          <w:sz w:val="24"/>
          <w:szCs w:val="24"/>
        </w:rPr>
        <w:t>十、签订地点</w:t>
      </w:r>
      <w:bookmarkEnd w:id="381"/>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382" w:name="_Toc351203491"/>
      <w:r>
        <w:rPr>
          <w:rFonts w:hint="eastAsia" w:ascii="宋体" w:hAnsi="宋体" w:eastAsia="宋体" w:cs="宋体"/>
          <w:b w:val="0"/>
          <w:color w:val="000000"/>
          <w:sz w:val="24"/>
          <w:szCs w:val="24"/>
        </w:rPr>
        <w:t>十一、补充协议</w:t>
      </w:r>
      <w:bookmarkEnd w:id="382"/>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383" w:name="_Toc351203492"/>
      <w:r>
        <w:rPr>
          <w:rFonts w:hint="eastAsia" w:ascii="宋体" w:hAnsi="宋体" w:eastAsia="宋体" w:cs="宋体"/>
          <w:b w:val="0"/>
          <w:color w:val="000000"/>
          <w:sz w:val="24"/>
          <w:szCs w:val="24"/>
        </w:rPr>
        <w:t>十二、合同生效</w:t>
      </w:r>
      <w:bookmarkEnd w:id="383"/>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pPr>
        <w:pStyle w:val="7"/>
        <w:pageBreakBefore w:val="0"/>
        <w:widowControl w:val="0"/>
        <w:kinsoku/>
        <w:wordWrap/>
        <w:overflowPunct/>
        <w:topLinePunct w:val="0"/>
        <w:bidi w:val="0"/>
        <w:snapToGrid/>
        <w:spacing w:before="120" w:after="120" w:line="360" w:lineRule="auto"/>
        <w:ind w:right="0" w:rightChars="0"/>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384" w:name="_Toc351203493"/>
      <w:r>
        <w:rPr>
          <w:rFonts w:hint="eastAsia" w:ascii="宋体" w:hAnsi="宋体" w:eastAsia="宋体" w:cs="宋体"/>
          <w:b w:val="0"/>
          <w:color w:val="000000"/>
          <w:sz w:val="24"/>
          <w:szCs w:val="24"/>
        </w:rPr>
        <w:t>十三、合同份数</w:t>
      </w:r>
      <w:bookmarkEnd w:id="384"/>
    </w:p>
    <w:p>
      <w:pPr>
        <w:pageBreakBefore w:val="0"/>
        <w:widowControl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u w:val="single"/>
        </w:rPr>
      </w:pPr>
    </w:p>
    <w:p>
      <w:pPr>
        <w:pageBreakBefore w:val="0"/>
        <w:widowControl w:val="0"/>
        <w:tabs>
          <w:tab w:val="left" w:pos="4410"/>
        </w:tabs>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360" w:lineRule="auto"/>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before="156" w:beforeLines="50" w:after="156" w:afterLines="50" w:line="360" w:lineRule="auto"/>
        <w:ind w:right="0" w:rightChars="0"/>
        <w:textAlignment w:val="auto"/>
        <w:rPr>
          <w:rFonts w:hint="eastAsia" w:ascii="宋体" w:hAnsi="宋体" w:eastAsia="宋体" w:cs="宋体"/>
          <w:b/>
          <w:bCs/>
          <w:szCs w:val="21"/>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30"/>
          <w:szCs w:val="30"/>
          <w:u w:val="single"/>
        </w:rPr>
        <w:t xml:space="preserve">  </w:t>
      </w:r>
      <w:r>
        <w:rPr>
          <w:rFonts w:hint="eastAsia" w:ascii="宋体" w:hAnsi="宋体" w:eastAsia="宋体" w:cs="宋体"/>
          <w:sz w:val="24"/>
          <w:szCs w:val="24"/>
        </w:rPr>
        <w:t xml:space="preserve">                             </w:t>
      </w:r>
      <w:r>
        <w:rPr>
          <w:rFonts w:hint="eastAsia" w:ascii="宋体" w:hAnsi="宋体" w:eastAsia="宋体" w:cs="宋体"/>
          <w:b/>
          <w:bCs/>
          <w:szCs w:val="21"/>
        </w:rPr>
        <w:t xml:space="preserve"> </w:t>
      </w:r>
    </w:p>
    <w:p>
      <w:pPr>
        <w:pageBreakBefore w:val="0"/>
        <w:widowControl w:val="0"/>
        <w:kinsoku/>
        <w:wordWrap/>
        <w:overflowPunct/>
        <w:topLinePunct w:val="0"/>
        <w:bidi w:val="0"/>
        <w:snapToGrid/>
        <w:spacing w:before="156" w:beforeLines="50" w:after="156" w:afterLines="50" w:line="440" w:lineRule="exact"/>
        <w:ind w:right="0" w:rightChars="0" w:firstLine="480"/>
        <w:textAlignment w:val="auto"/>
        <w:rPr>
          <w:rFonts w:hint="eastAsia" w:ascii="宋体" w:hAnsi="宋体" w:eastAsia="宋体" w:cs="宋体"/>
          <w:b/>
          <w:bCs/>
          <w:szCs w:val="21"/>
        </w:rPr>
      </w:pPr>
    </w:p>
    <w:p>
      <w:pPr>
        <w:pageBreakBefore w:val="0"/>
        <w:widowControl w:val="0"/>
        <w:kinsoku/>
        <w:wordWrap/>
        <w:overflowPunct/>
        <w:topLinePunct w:val="0"/>
        <w:bidi w:val="0"/>
        <w:snapToGrid/>
        <w:spacing w:before="156" w:beforeLines="50" w:after="156" w:afterLines="50" w:line="440" w:lineRule="exact"/>
        <w:ind w:right="0" w:rightChars="0" w:firstLine="480"/>
        <w:textAlignment w:val="auto"/>
        <w:rPr>
          <w:rFonts w:hint="eastAsia" w:ascii="宋体" w:hAnsi="宋体" w:eastAsia="宋体" w:cs="宋体"/>
          <w:b/>
          <w:bCs/>
          <w:szCs w:val="21"/>
        </w:rPr>
      </w:pPr>
    </w:p>
    <w:p>
      <w:pPr>
        <w:pageBreakBefore w:val="0"/>
        <w:widowControl w:val="0"/>
        <w:kinsoku/>
        <w:wordWrap/>
        <w:overflowPunct/>
        <w:topLinePunct w:val="0"/>
        <w:bidi w:val="0"/>
        <w:snapToGrid/>
        <w:spacing w:before="156" w:beforeLines="50" w:after="156" w:afterLines="50" w:line="440" w:lineRule="exact"/>
        <w:ind w:right="0" w:rightChars="0" w:firstLine="480"/>
        <w:textAlignment w:val="auto"/>
        <w:rPr>
          <w:rFonts w:hint="eastAsia" w:ascii="宋体" w:hAnsi="宋体" w:eastAsia="宋体" w:cs="宋体"/>
          <w:b/>
          <w:bCs/>
          <w:szCs w:val="21"/>
        </w:rPr>
      </w:pPr>
    </w:p>
    <w:p>
      <w:pPr>
        <w:pageBreakBefore w:val="0"/>
        <w:widowControl w:val="0"/>
        <w:kinsoku/>
        <w:wordWrap/>
        <w:overflowPunct/>
        <w:topLinePunct w:val="0"/>
        <w:bidi w:val="0"/>
        <w:snapToGrid/>
        <w:spacing w:before="156" w:beforeLines="50" w:after="156" w:afterLines="50" w:line="440" w:lineRule="exact"/>
        <w:ind w:right="0" w:rightChars="0" w:firstLine="480"/>
        <w:textAlignment w:val="auto"/>
        <w:rPr>
          <w:rFonts w:hint="eastAsia" w:ascii="宋体" w:hAnsi="宋体" w:eastAsia="宋体" w:cs="宋体"/>
          <w:b/>
          <w:bCs/>
          <w:szCs w:val="21"/>
        </w:rPr>
      </w:pPr>
    </w:p>
    <w:p>
      <w:pPr>
        <w:pageBreakBefore w:val="0"/>
        <w:widowControl w:val="0"/>
        <w:kinsoku/>
        <w:wordWrap/>
        <w:overflowPunct/>
        <w:topLinePunct w:val="0"/>
        <w:bidi w:val="0"/>
        <w:snapToGrid/>
        <w:spacing w:before="156" w:beforeLines="50" w:after="156" w:afterLines="50" w:line="440" w:lineRule="exact"/>
        <w:ind w:right="0" w:rightChars="0" w:firstLine="480"/>
        <w:textAlignment w:val="auto"/>
        <w:rPr>
          <w:rFonts w:hint="eastAsia" w:ascii="宋体" w:hAnsi="宋体" w:eastAsia="宋体" w:cs="宋体"/>
          <w:b/>
          <w:bCs/>
          <w:szCs w:val="21"/>
        </w:rPr>
      </w:pPr>
    </w:p>
    <w:p>
      <w:pPr>
        <w:pageBreakBefore w:val="0"/>
        <w:widowControl w:val="0"/>
        <w:kinsoku/>
        <w:wordWrap/>
        <w:overflowPunct/>
        <w:topLinePunct w:val="0"/>
        <w:bidi w:val="0"/>
        <w:snapToGrid/>
        <w:spacing w:before="156" w:beforeLines="50" w:after="156" w:afterLines="50" w:line="440" w:lineRule="exact"/>
        <w:ind w:right="0" w:rightChars="0" w:firstLine="480"/>
        <w:textAlignment w:val="auto"/>
        <w:rPr>
          <w:rFonts w:hint="eastAsia" w:ascii="宋体" w:hAnsi="宋体" w:eastAsia="宋体" w:cs="宋体"/>
          <w:b/>
          <w:bCs/>
          <w:szCs w:val="21"/>
        </w:rPr>
      </w:pPr>
    </w:p>
    <w:p>
      <w:pPr>
        <w:pageBreakBefore w:val="0"/>
        <w:widowControl w:val="0"/>
        <w:kinsoku/>
        <w:wordWrap/>
        <w:overflowPunct/>
        <w:topLinePunct w:val="0"/>
        <w:bidi w:val="0"/>
        <w:snapToGrid/>
        <w:spacing w:before="156" w:beforeLines="50" w:after="156" w:afterLines="50" w:line="440" w:lineRule="exact"/>
        <w:ind w:right="0" w:rightChars="0" w:firstLine="480"/>
        <w:textAlignment w:val="auto"/>
        <w:rPr>
          <w:rFonts w:hint="eastAsia" w:ascii="宋体" w:hAnsi="宋体" w:eastAsia="宋体" w:cs="宋体"/>
          <w:b/>
          <w:bCs/>
          <w:szCs w:val="21"/>
        </w:rPr>
      </w:pPr>
    </w:p>
    <w:p>
      <w:pPr>
        <w:pageBreakBefore w:val="0"/>
        <w:widowControl w:val="0"/>
        <w:kinsoku/>
        <w:wordWrap/>
        <w:overflowPunct/>
        <w:topLinePunct w:val="0"/>
        <w:bidi w:val="0"/>
        <w:snapToGrid/>
        <w:spacing w:before="156" w:beforeLines="50" w:after="156" w:afterLines="50" w:line="440" w:lineRule="exact"/>
        <w:ind w:right="0" w:rightChars="0" w:firstLine="480"/>
        <w:textAlignment w:val="auto"/>
        <w:rPr>
          <w:rFonts w:hint="eastAsia" w:ascii="宋体" w:hAnsi="宋体" w:eastAsia="宋体" w:cs="宋体"/>
          <w:b/>
          <w:bCs/>
          <w:szCs w:val="21"/>
        </w:rPr>
      </w:pPr>
    </w:p>
    <w:p>
      <w:pPr>
        <w:pStyle w:val="24"/>
        <w:rPr>
          <w:rFonts w:hint="eastAsia" w:ascii="宋体" w:hAnsi="宋体" w:eastAsia="宋体" w:cs="宋体"/>
          <w:b/>
          <w:bCs/>
          <w:szCs w:val="21"/>
        </w:rPr>
      </w:pPr>
    </w:p>
    <w:p>
      <w:pPr>
        <w:rPr>
          <w:rFonts w:hint="eastAsia" w:ascii="宋体" w:hAnsi="宋体" w:eastAsia="宋体" w:cs="宋体"/>
          <w:b/>
          <w:bCs/>
          <w:szCs w:val="21"/>
        </w:rPr>
      </w:pPr>
    </w:p>
    <w:p>
      <w:pPr>
        <w:pStyle w:val="24"/>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pStyle w:val="24"/>
        <w:rPr>
          <w:rFonts w:hint="eastAsia"/>
        </w:rPr>
      </w:pPr>
    </w:p>
    <w:p>
      <w:pPr>
        <w:pStyle w:val="24"/>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rPr>
          <w:rFonts w:hint="eastAsia" w:ascii="宋体" w:hAnsi="宋体" w:eastAsia="宋体" w:cs="宋体"/>
          <w:b/>
          <w:bCs/>
          <w:szCs w:val="21"/>
        </w:rPr>
      </w:pPr>
    </w:p>
    <w:p>
      <w:pPr>
        <w:pageBreakBefore w:val="0"/>
        <w:widowControl w:val="0"/>
        <w:kinsoku/>
        <w:wordWrap/>
        <w:overflowPunct/>
        <w:topLinePunct w:val="0"/>
        <w:bidi w:val="0"/>
        <w:snapToGrid/>
        <w:spacing w:before="156" w:beforeLines="50" w:after="156" w:afterLines="50" w:line="440" w:lineRule="exact"/>
        <w:ind w:right="0" w:rightChars="0" w:firstLine="48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第二部分  通用条款</w:t>
      </w:r>
    </w:p>
    <w:p>
      <w:pPr>
        <w:pStyle w:val="6"/>
        <w:pageBreakBefore w:val="0"/>
        <w:widowControl w:val="0"/>
        <w:kinsoku/>
        <w:wordWrap/>
        <w:overflowPunct/>
        <w:topLinePunct w:val="0"/>
        <w:bidi w:val="0"/>
        <w:snapToGrid/>
        <w:spacing w:line="440" w:lineRule="exact"/>
        <w:ind w:left="420" w:right="0" w:rightChars="0"/>
        <w:jc w:val="center"/>
        <w:textAlignment w:val="auto"/>
        <w:rPr>
          <w:rFonts w:hint="eastAsia" w:ascii="宋体" w:hAnsi="宋体" w:eastAsia="宋体" w:cs="宋体"/>
          <w:sz w:val="24"/>
          <w:szCs w:val="24"/>
        </w:rPr>
      </w:pPr>
      <w:bookmarkStart w:id="385" w:name="_Toc27958"/>
      <w:bookmarkStart w:id="386" w:name="_Toc7412"/>
      <w:bookmarkStart w:id="387" w:name="_Toc387766546"/>
      <w:bookmarkStart w:id="388" w:name="_Toc22597"/>
      <w:bookmarkStart w:id="389" w:name="_Toc21916"/>
      <w:bookmarkStart w:id="390" w:name="_Toc3395"/>
      <w:bookmarkStart w:id="391" w:name="_Toc32240"/>
      <w:bookmarkStart w:id="392" w:name="_Toc31996"/>
      <w:bookmarkStart w:id="393" w:name="_Toc3595"/>
      <w:bookmarkStart w:id="394" w:name="_Toc980"/>
      <w:bookmarkStart w:id="395" w:name="_Toc184635122"/>
      <w:r>
        <w:rPr>
          <w:rFonts w:hint="eastAsia" w:ascii="宋体" w:hAnsi="宋体" w:eastAsia="宋体" w:cs="宋体"/>
          <w:bCs w:val="0"/>
          <w:sz w:val="24"/>
          <w:szCs w:val="24"/>
        </w:rPr>
        <w:t>按建设工程施工合同范本(GF—2017—0201)通用条款执行</w:t>
      </w:r>
      <w:r>
        <w:rPr>
          <w:rFonts w:hint="eastAsia" w:ascii="宋体" w:hAnsi="宋体" w:eastAsia="宋体" w:cs="宋体"/>
          <w:sz w:val="24"/>
          <w:szCs w:val="24"/>
        </w:rPr>
        <w:br w:type="page"/>
      </w:r>
      <w:r>
        <w:rPr>
          <w:rFonts w:hint="eastAsia" w:ascii="宋体" w:hAnsi="宋体" w:eastAsia="宋体" w:cs="宋体"/>
          <w:sz w:val="24"/>
          <w:szCs w:val="24"/>
        </w:rPr>
        <w:t>第三部分 专用条款</w:t>
      </w:r>
      <w:bookmarkEnd w:id="385"/>
      <w:bookmarkEnd w:id="386"/>
      <w:bookmarkEnd w:id="387"/>
      <w:bookmarkEnd w:id="388"/>
      <w:bookmarkEnd w:id="389"/>
      <w:bookmarkEnd w:id="390"/>
      <w:bookmarkEnd w:id="391"/>
      <w:bookmarkEnd w:id="392"/>
      <w:bookmarkEnd w:id="393"/>
      <w:bookmarkEnd w:id="394"/>
    </w:p>
    <w:bookmarkEnd w:id="395"/>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396" w:name="_Toc351203633"/>
      <w:r>
        <w:rPr>
          <w:rFonts w:hint="eastAsia" w:ascii="宋体" w:hAnsi="宋体" w:eastAsia="宋体" w:cs="宋体"/>
          <w:b w:val="0"/>
          <w:color w:val="000000"/>
          <w:sz w:val="24"/>
          <w:szCs w:val="24"/>
        </w:rPr>
        <w:t>1</w:t>
      </w:r>
      <w:bookmarkStart w:id="397" w:name="_Toc296346657"/>
      <w:bookmarkStart w:id="398" w:name="_Toc292559866"/>
      <w:bookmarkStart w:id="399" w:name="_Toc292559361"/>
      <w:bookmarkStart w:id="400" w:name="_Toc296891196"/>
      <w:bookmarkStart w:id="401" w:name="_Toc297048342"/>
      <w:bookmarkStart w:id="402" w:name="_Toc296503156"/>
      <w:bookmarkStart w:id="403" w:name="_Toc296890984"/>
      <w:bookmarkStart w:id="404" w:name="_Toc296944495"/>
      <w:bookmarkStart w:id="405" w:name="_Toc296347155"/>
      <w:bookmarkStart w:id="406" w:name="_Toc297120456"/>
      <w:r>
        <w:rPr>
          <w:rFonts w:hint="eastAsia" w:ascii="宋体" w:hAnsi="宋体" w:eastAsia="宋体" w:cs="宋体"/>
          <w:b w:val="0"/>
          <w:color w:val="000000"/>
          <w:sz w:val="24"/>
          <w:szCs w:val="24"/>
        </w:rPr>
        <w:t>. 一般约定</w:t>
      </w:r>
      <w:bookmarkEnd w:id="396"/>
    </w:p>
    <w:bookmarkEnd w:id="397"/>
    <w:bookmarkEnd w:id="398"/>
    <w:bookmarkEnd w:id="399"/>
    <w:bookmarkEnd w:id="400"/>
    <w:bookmarkEnd w:id="401"/>
    <w:bookmarkEnd w:id="402"/>
    <w:bookmarkEnd w:id="403"/>
    <w:bookmarkEnd w:id="404"/>
    <w:bookmarkEnd w:id="405"/>
    <w:bookmarkEnd w:id="406"/>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407" w:name="_Toc25425"/>
      <w:bookmarkStart w:id="408" w:name="_Toc23760"/>
      <w:bookmarkStart w:id="409" w:name="_Toc25499"/>
      <w:bookmarkStart w:id="410" w:name="_Toc15841"/>
      <w:bookmarkStart w:id="411" w:name="_Toc8159"/>
      <w:bookmarkStart w:id="412" w:name="_Toc694"/>
      <w:bookmarkStart w:id="413" w:name="_Toc20134"/>
      <w:bookmarkStart w:id="414" w:name="_Toc4073"/>
      <w:bookmarkStart w:id="415" w:name="_Toc11598"/>
      <w:bookmarkStart w:id="416" w:name="_Toc9334"/>
      <w:r>
        <w:rPr>
          <w:rFonts w:hint="eastAsia" w:ascii="宋体" w:hAnsi="宋体" w:eastAsia="宋体" w:cs="宋体"/>
          <w:color w:val="000000"/>
          <w:sz w:val="24"/>
          <w:szCs w:val="24"/>
        </w:rPr>
        <w:t>1.1 词语定义</w:t>
      </w:r>
      <w:bookmarkEnd w:id="407"/>
      <w:bookmarkEnd w:id="408"/>
      <w:bookmarkEnd w:id="409"/>
      <w:bookmarkEnd w:id="410"/>
      <w:bookmarkEnd w:id="411"/>
      <w:bookmarkEnd w:id="412"/>
      <w:bookmarkEnd w:id="413"/>
      <w:bookmarkEnd w:id="414"/>
      <w:bookmarkEnd w:id="415"/>
      <w:bookmarkEnd w:id="416"/>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                  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40" w:lineRule="exact"/>
        <w:ind w:left="596" w:leftChars="284" w:right="0" w:rightChars="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 xml:space="preserve">     </w:t>
      </w:r>
    </w:p>
    <w:p>
      <w:pPr>
        <w:pageBreakBefore w:val="0"/>
        <w:widowControl w:val="0"/>
        <w:kinsoku/>
        <w:wordWrap/>
        <w:overflowPunct/>
        <w:topLinePunct w:val="0"/>
        <w:autoSpaceDE w:val="0"/>
        <w:autoSpaceDN w:val="0"/>
        <w:bidi w:val="0"/>
        <w:adjustRightInd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pPr>
        <w:pageBreakBefore w:val="0"/>
        <w:widowControl w:val="0"/>
        <w:kinsoku/>
        <w:wordWrap/>
        <w:overflowPunct/>
        <w:topLinePunct w:val="0"/>
        <w:bidi w:val="0"/>
        <w:snapToGrid/>
        <w:spacing w:line="440" w:lineRule="exact"/>
        <w:ind w:left="596" w:leftChars="284"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outlineLvl w:val="0"/>
        <w:rPr>
          <w:rFonts w:hint="eastAsia" w:ascii="宋体" w:hAnsi="宋体" w:eastAsia="宋体" w:cs="宋体"/>
          <w:color w:val="000000"/>
          <w:kern w:val="0"/>
          <w:sz w:val="24"/>
          <w:szCs w:val="24"/>
          <w:u w:val="single"/>
        </w:rPr>
      </w:pPr>
      <w:bookmarkStart w:id="417" w:name="_Toc12957"/>
      <w:bookmarkStart w:id="418" w:name="_Toc25880"/>
      <w:bookmarkStart w:id="419" w:name="_Toc20786"/>
      <w:bookmarkStart w:id="420" w:name="_Toc3678"/>
      <w:bookmarkStart w:id="421" w:name="_Toc18656"/>
      <w:bookmarkStart w:id="422" w:name="_Toc4011"/>
      <w:bookmarkStart w:id="423" w:name="_Toc9757"/>
      <w:bookmarkStart w:id="424" w:name="_Toc22179"/>
      <w:bookmarkStart w:id="425" w:name="_Toc30883"/>
      <w:bookmarkStart w:id="426" w:name="_Toc21159"/>
      <w:r>
        <w:rPr>
          <w:rFonts w:hint="eastAsia" w:ascii="宋体" w:hAnsi="宋体" w:eastAsia="宋体" w:cs="宋体"/>
          <w:color w:val="000000"/>
          <w:kern w:val="0"/>
          <w:sz w:val="24"/>
          <w:szCs w:val="24"/>
        </w:rPr>
        <w:t>1.4.2 发包人提供国外标准、规范的名称：</w:t>
      </w:r>
      <w:bookmarkEnd w:id="417"/>
      <w:bookmarkEnd w:id="418"/>
      <w:bookmarkEnd w:id="419"/>
      <w:bookmarkEnd w:id="420"/>
      <w:bookmarkEnd w:id="421"/>
      <w:bookmarkEnd w:id="422"/>
      <w:bookmarkEnd w:id="423"/>
      <w:bookmarkEnd w:id="424"/>
      <w:bookmarkEnd w:id="425"/>
      <w:bookmarkEnd w:id="426"/>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left="596" w:leftChars="284"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427" w:name="_Toc13984"/>
      <w:bookmarkStart w:id="428" w:name="_Toc27262"/>
      <w:bookmarkStart w:id="429" w:name="_Toc25705"/>
      <w:bookmarkStart w:id="430" w:name="_Toc9134"/>
      <w:bookmarkStart w:id="431" w:name="_Toc21933"/>
      <w:bookmarkStart w:id="432" w:name="_Toc19292"/>
      <w:bookmarkStart w:id="433" w:name="_Toc11047"/>
      <w:bookmarkStart w:id="434" w:name="_Toc4325"/>
      <w:bookmarkStart w:id="435" w:name="_Toc13083"/>
      <w:bookmarkStart w:id="436" w:name="_Toc7923"/>
      <w:r>
        <w:rPr>
          <w:rFonts w:hint="eastAsia" w:ascii="宋体" w:hAnsi="宋体" w:eastAsia="宋体" w:cs="宋体"/>
          <w:color w:val="000000"/>
          <w:sz w:val="24"/>
          <w:szCs w:val="24"/>
        </w:rPr>
        <w:t>1.5 合同文件的优先顺序</w:t>
      </w:r>
      <w:bookmarkEnd w:id="427"/>
      <w:bookmarkEnd w:id="428"/>
      <w:bookmarkEnd w:id="429"/>
      <w:bookmarkEnd w:id="430"/>
      <w:bookmarkEnd w:id="431"/>
      <w:bookmarkEnd w:id="432"/>
      <w:bookmarkEnd w:id="433"/>
      <w:bookmarkEnd w:id="434"/>
      <w:bookmarkEnd w:id="435"/>
      <w:bookmarkEnd w:id="436"/>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437" w:name="_Toc12580"/>
      <w:bookmarkStart w:id="438" w:name="_Toc9574"/>
      <w:bookmarkStart w:id="439" w:name="_Toc16052"/>
      <w:bookmarkStart w:id="440" w:name="_Toc20431"/>
      <w:bookmarkStart w:id="441" w:name="_Toc20408"/>
      <w:bookmarkStart w:id="442" w:name="_Toc31482"/>
      <w:bookmarkStart w:id="443" w:name="_Toc8745"/>
      <w:bookmarkStart w:id="444" w:name="_Toc22588"/>
      <w:bookmarkStart w:id="445" w:name="_Toc19228"/>
      <w:bookmarkStart w:id="446" w:name="_Toc8388"/>
      <w:r>
        <w:rPr>
          <w:rFonts w:hint="eastAsia" w:ascii="宋体" w:hAnsi="宋体" w:eastAsia="宋体" w:cs="宋体"/>
          <w:color w:val="000000"/>
          <w:sz w:val="24"/>
          <w:szCs w:val="24"/>
        </w:rPr>
        <w:t>1.6 图纸和承包人文件</w:t>
      </w:r>
      <w:bookmarkEnd w:id="437"/>
      <w:bookmarkEnd w:id="438"/>
      <w:bookmarkEnd w:id="439"/>
      <w:bookmarkEnd w:id="440"/>
      <w:bookmarkEnd w:id="441"/>
      <w:bookmarkEnd w:id="442"/>
      <w:bookmarkEnd w:id="443"/>
      <w:bookmarkEnd w:id="444"/>
      <w:bookmarkEnd w:id="445"/>
      <w:bookmarkEnd w:id="446"/>
      <w:r>
        <w:rPr>
          <w:rFonts w:hint="eastAsia" w:ascii="宋体" w:hAnsi="宋体" w:eastAsia="宋体" w:cs="宋体"/>
          <w:color w:val="000000"/>
          <w:sz w:val="24"/>
          <w:szCs w:val="24"/>
        </w:rPr>
        <w:tab/>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pPr>
        <w:pageBreakBefore w:val="0"/>
        <w:widowControl w:val="0"/>
        <w:kinsoku/>
        <w:wordWrap/>
        <w:overflowPunct/>
        <w:topLinePunct w:val="0"/>
        <w:bidi w:val="0"/>
        <w:snapToGrid/>
        <w:spacing w:line="440" w:lineRule="exact"/>
        <w:ind w:left="596" w:leftChars="284" w:right="0" w:rightChars="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          </w:t>
      </w:r>
    </w:p>
    <w:p>
      <w:pPr>
        <w:pageBreakBefore w:val="0"/>
        <w:widowControl w:val="0"/>
        <w:kinsoku/>
        <w:wordWrap/>
        <w:overflowPunct/>
        <w:topLinePunct w:val="0"/>
        <w:bidi w:val="0"/>
        <w:snapToGrid/>
        <w:spacing w:line="440" w:lineRule="exact"/>
        <w:ind w:left="596" w:leftChars="284"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447" w:name="_Toc15957"/>
      <w:bookmarkStart w:id="448" w:name="_Toc18199"/>
      <w:bookmarkStart w:id="449" w:name="_Toc15409"/>
      <w:bookmarkStart w:id="450" w:name="_Toc30052"/>
      <w:bookmarkStart w:id="451" w:name="_Toc28011"/>
      <w:bookmarkStart w:id="452" w:name="_Toc28680"/>
      <w:bookmarkStart w:id="453" w:name="_Toc30710"/>
      <w:bookmarkStart w:id="454" w:name="_Toc12570"/>
      <w:bookmarkStart w:id="455" w:name="_Toc242"/>
      <w:bookmarkStart w:id="456" w:name="_Toc28637"/>
      <w:r>
        <w:rPr>
          <w:rFonts w:hint="eastAsia" w:ascii="宋体" w:hAnsi="宋体" w:eastAsia="宋体" w:cs="宋体"/>
          <w:color w:val="000000"/>
          <w:sz w:val="24"/>
          <w:szCs w:val="24"/>
        </w:rPr>
        <w:t>1.7 联络</w:t>
      </w:r>
      <w:bookmarkEnd w:id="447"/>
      <w:bookmarkEnd w:id="448"/>
      <w:bookmarkEnd w:id="449"/>
      <w:bookmarkEnd w:id="450"/>
      <w:bookmarkEnd w:id="451"/>
      <w:bookmarkEnd w:id="452"/>
      <w:bookmarkEnd w:id="453"/>
      <w:bookmarkEnd w:id="454"/>
      <w:bookmarkEnd w:id="455"/>
      <w:bookmarkEnd w:id="456"/>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sz w:val="24"/>
          <w:szCs w:val="24"/>
          <w:u w:val="single"/>
        </w:rPr>
        <w:t>  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       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rPr>
        <w:t> 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rPr>
        <w:t> 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457" w:name="_Toc3659"/>
      <w:bookmarkStart w:id="458" w:name="_Toc22486"/>
      <w:bookmarkStart w:id="459" w:name="_Toc21068"/>
      <w:bookmarkStart w:id="460" w:name="_Toc2360"/>
      <w:bookmarkStart w:id="461" w:name="_Toc18923"/>
      <w:bookmarkStart w:id="462" w:name="_Toc8247"/>
      <w:bookmarkStart w:id="463" w:name="_Toc20740"/>
      <w:bookmarkStart w:id="464" w:name="_Toc19868"/>
      <w:bookmarkStart w:id="465" w:name="_Toc4230"/>
      <w:bookmarkStart w:id="466" w:name="_Toc10673"/>
      <w:r>
        <w:rPr>
          <w:rFonts w:hint="eastAsia" w:ascii="宋体" w:hAnsi="宋体" w:eastAsia="宋体" w:cs="宋体"/>
          <w:color w:val="000000"/>
          <w:sz w:val="24"/>
          <w:szCs w:val="24"/>
        </w:rPr>
        <w:t>1.10 交通运输</w:t>
      </w:r>
      <w:bookmarkEnd w:id="457"/>
      <w:bookmarkEnd w:id="458"/>
      <w:bookmarkEnd w:id="459"/>
      <w:bookmarkEnd w:id="460"/>
      <w:bookmarkEnd w:id="461"/>
      <w:bookmarkEnd w:id="462"/>
      <w:bookmarkEnd w:id="463"/>
      <w:bookmarkEnd w:id="464"/>
      <w:bookmarkEnd w:id="465"/>
      <w:bookmarkEnd w:id="466"/>
    </w:p>
    <w:p>
      <w:pPr>
        <w:pageBreakBefore w:val="0"/>
        <w:widowControl w:val="0"/>
        <w:kinsoku/>
        <w:wordWrap/>
        <w:overflowPunct/>
        <w:topLinePunct w:val="0"/>
        <w:bidi w:val="0"/>
        <w:snapToGrid/>
        <w:spacing w:line="440" w:lineRule="exact"/>
        <w:ind w:right="0" w:rightChars="0" w:firstLine="480" w:firstLineChars="200"/>
        <w:textAlignment w:val="auto"/>
        <w:outlineLvl w:val="0"/>
        <w:rPr>
          <w:rFonts w:hint="eastAsia" w:ascii="宋体" w:hAnsi="宋体" w:eastAsia="宋体" w:cs="宋体"/>
          <w:sz w:val="24"/>
          <w:szCs w:val="24"/>
        </w:rPr>
      </w:pPr>
      <w:bookmarkStart w:id="467" w:name="_Toc8420"/>
      <w:bookmarkStart w:id="468" w:name="_Toc4542"/>
      <w:bookmarkStart w:id="469" w:name="_Toc29272"/>
      <w:bookmarkStart w:id="470" w:name="_Toc4612"/>
      <w:bookmarkStart w:id="471" w:name="_Toc10656"/>
      <w:bookmarkStart w:id="472" w:name="_Toc15537"/>
      <w:bookmarkStart w:id="473" w:name="_Toc3047"/>
      <w:bookmarkStart w:id="474" w:name="_Toc16126"/>
      <w:bookmarkStart w:id="475" w:name="_Toc11844"/>
      <w:bookmarkStart w:id="476" w:name="_Toc7715"/>
      <w:r>
        <w:rPr>
          <w:rFonts w:hint="eastAsia" w:ascii="宋体" w:hAnsi="宋体" w:eastAsia="宋体" w:cs="宋体"/>
          <w:sz w:val="24"/>
          <w:szCs w:val="24"/>
        </w:rPr>
        <w:t>1</w:t>
      </w:r>
      <w:bookmarkStart w:id="477" w:name="_Toc300934943"/>
      <w:bookmarkStart w:id="478" w:name="_Toc304295521"/>
      <w:bookmarkStart w:id="479" w:name="_Toc303539100"/>
      <w:bookmarkStart w:id="480" w:name="_Toc312677986"/>
      <w:bookmarkStart w:id="481" w:name="_Toc318581155"/>
      <w:r>
        <w:rPr>
          <w:rFonts w:hint="eastAsia" w:ascii="宋体" w:hAnsi="宋体" w:eastAsia="宋体" w:cs="宋体"/>
          <w:sz w:val="24"/>
          <w:szCs w:val="24"/>
        </w:rPr>
        <w:t>.10.1 出入现场的权利</w:t>
      </w:r>
      <w:bookmarkEnd w:id="467"/>
      <w:bookmarkEnd w:id="468"/>
      <w:bookmarkEnd w:id="469"/>
      <w:bookmarkEnd w:id="470"/>
      <w:bookmarkEnd w:id="471"/>
      <w:bookmarkEnd w:id="472"/>
      <w:bookmarkEnd w:id="473"/>
      <w:bookmarkEnd w:id="474"/>
      <w:bookmarkEnd w:id="475"/>
      <w:bookmarkEnd w:id="476"/>
    </w:p>
    <w:p>
      <w:pPr>
        <w:pageBreakBefore w:val="0"/>
        <w:widowControl w:val="0"/>
        <w:kinsoku/>
        <w:wordWrap/>
        <w:overflowPunct/>
        <w:topLinePunct w:val="0"/>
        <w:bidi w:val="0"/>
        <w:snapToGrid/>
        <w:spacing w:line="440" w:lineRule="exact"/>
        <w:ind w:left="596" w:leftChars="284" w:right="0" w:rightChars="0"/>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关于出入现场的权利的约定：</w:t>
      </w:r>
      <w:r>
        <w:rPr>
          <w:rFonts w:hint="eastAsia" w:ascii="宋体" w:hAnsi="宋体" w:eastAsia="宋体" w:cs="宋体"/>
          <w:color w:val="000000"/>
          <w:sz w:val="24"/>
          <w:szCs w:val="24"/>
          <w:u w:val="single"/>
        </w:rPr>
        <w:t> 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sz w:val="24"/>
          <w:szCs w:val="24"/>
        </w:rPr>
      </w:pPr>
      <w:r>
        <w:rPr>
          <w:rFonts w:hint="eastAsia" w:ascii="宋体" w:hAnsi="宋体" w:eastAsia="宋体" w:cs="宋体"/>
          <w:color w:val="000000"/>
          <w:sz w:val="24"/>
          <w:szCs w:val="24"/>
          <w:u w:val="single"/>
        </w:rPr>
        <w:t>                             </w:t>
      </w:r>
      <w:r>
        <w:rPr>
          <w:rFonts w:hint="eastAsia" w:ascii="宋体" w:hAnsi="宋体" w:eastAsia="宋体" w:cs="宋体"/>
          <w:sz w:val="24"/>
          <w:szCs w:val="24"/>
        </w:rPr>
        <w:t>。</w:t>
      </w:r>
    </w:p>
    <w:bookmarkEnd w:id="477"/>
    <w:bookmarkEnd w:id="478"/>
    <w:bookmarkEnd w:id="479"/>
    <w:bookmarkEnd w:id="480"/>
    <w:bookmarkEnd w:id="481"/>
    <w:p>
      <w:pPr>
        <w:pageBreakBefore w:val="0"/>
        <w:widowControl w:val="0"/>
        <w:kinsoku/>
        <w:wordWrap/>
        <w:overflowPunct/>
        <w:topLinePunct w:val="0"/>
        <w:bidi w:val="0"/>
        <w:snapToGrid/>
        <w:spacing w:line="440" w:lineRule="exact"/>
        <w:ind w:right="0" w:rightChars="0" w:firstLine="480" w:firstLineChars="200"/>
        <w:jc w:val="left"/>
        <w:textAlignment w:val="auto"/>
        <w:outlineLvl w:val="0"/>
        <w:rPr>
          <w:rFonts w:hint="eastAsia" w:ascii="宋体" w:hAnsi="宋体" w:eastAsia="宋体" w:cs="宋体"/>
          <w:sz w:val="24"/>
          <w:szCs w:val="24"/>
        </w:rPr>
      </w:pPr>
      <w:bookmarkStart w:id="482" w:name="_Toc28055"/>
      <w:bookmarkStart w:id="483" w:name="_Toc13732"/>
      <w:bookmarkStart w:id="484" w:name="_Toc21044"/>
      <w:bookmarkStart w:id="485" w:name="_Toc28799"/>
      <w:bookmarkStart w:id="486" w:name="_Toc2954"/>
      <w:bookmarkStart w:id="487" w:name="_Toc30485"/>
      <w:bookmarkStart w:id="488" w:name="_Toc22209"/>
      <w:bookmarkStart w:id="489" w:name="_Toc18634"/>
      <w:bookmarkStart w:id="490" w:name="_Toc2272"/>
      <w:r>
        <w:rPr>
          <w:rFonts w:hint="eastAsia" w:ascii="宋体" w:hAnsi="宋体" w:eastAsia="宋体" w:cs="宋体"/>
          <w:sz w:val="24"/>
          <w:szCs w:val="24"/>
        </w:rPr>
        <w:t>1</w:t>
      </w:r>
      <w:bookmarkStart w:id="491" w:name="_Toc304295522"/>
      <w:bookmarkStart w:id="492" w:name="_Toc318581156"/>
      <w:bookmarkStart w:id="493" w:name="_Toc312677987"/>
      <w:bookmarkStart w:id="494" w:name="_Toc303539101"/>
      <w:bookmarkStart w:id="495" w:name="_Toc300934944"/>
      <w:r>
        <w:rPr>
          <w:rFonts w:hint="eastAsia" w:ascii="宋体" w:hAnsi="宋体" w:eastAsia="宋体" w:cs="宋体"/>
          <w:sz w:val="24"/>
          <w:szCs w:val="24"/>
        </w:rPr>
        <w:t>.10.3 场内交通</w:t>
      </w:r>
      <w:bookmarkEnd w:id="482"/>
      <w:bookmarkEnd w:id="483"/>
      <w:bookmarkEnd w:id="484"/>
      <w:bookmarkEnd w:id="485"/>
      <w:bookmarkEnd w:id="486"/>
      <w:bookmarkEnd w:id="487"/>
      <w:bookmarkEnd w:id="488"/>
      <w:bookmarkEnd w:id="489"/>
      <w:bookmarkEnd w:id="490"/>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rPr>
        <w:t xml:space="preserve">  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 xml:space="preserve">                    </w:t>
      </w:r>
      <w:r>
        <w:rPr>
          <w:rFonts w:hint="eastAsia" w:ascii="宋体" w:hAnsi="宋体" w:eastAsia="宋体" w:cs="宋体"/>
          <w:sz w:val="24"/>
          <w:szCs w:val="24"/>
        </w:rPr>
        <w:t>。</w:t>
      </w:r>
      <w:bookmarkEnd w:id="491"/>
      <w:bookmarkEnd w:id="492"/>
      <w:bookmarkEnd w:id="493"/>
      <w:bookmarkEnd w:id="494"/>
      <w:bookmarkEnd w:id="495"/>
      <w:r>
        <w:rPr>
          <w:rFonts w:hint="eastAsia" w:ascii="宋体" w:hAnsi="宋体" w:eastAsia="宋体" w:cs="宋体"/>
          <w:sz w:val="24"/>
          <w:szCs w:val="24"/>
        </w:rPr>
        <w:t xml:space="preserve">  </w:t>
      </w:r>
      <w:bookmarkStart w:id="496" w:name="_Toc318581157"/>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1.10.4超大件和超重件的运输</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bookmarkEnd w:id="496"/>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497" w:name="_Toc9926"/>
      <w:bookmarkStart w:id="498" w:name="_Toc9145"/>
      <w:bookmarkStart w:id="499" w:name="_Toc19053"/>
      <w:bookmarkStart w:id="500" w:name="_Toc29979"/>
      <w:bookmarkStart w:id="501" w:name="_Toc10012"/>
      <w:bookmarkStart w:id="502" w:name="_Toc26700"/>
      <w:bookmarkStart w:id="503" w:name="_Toc7178"/>
      <w:bookmarkStart w:id="504" w:name="_Toc6658"/>
      <w:bookmarkStart w:id="505" w:name="_Toc8702"/>
      <w:bookmarkStart w:id="506" w:name="_Toc26238"/>
      <w:r>
        <w:rPr>
          <w:rFonts w:hint="eastAsia" w:ascii="宋体" w:hAnsi="宋体" w:eastAsia="宋体" w:cs="宋体"/>
          <w:color w:val="000000"/>
          <w:sz w:val="24"/>
          <w:szCs w:val="24"/>
        </w:rPr>
        <w:t>1.11 知识产权</w:t>
      </w:r>
      <w:bookmarkEnd w:id="497"/>
      <w:bookmarkEnd w:id="498"/>
      <w:bookmarkEnd w:id="499"/>
      <w:bookmarkEnd w:id="500"/>
      <w:bookmarkEnd w:id="501"/>
      <w:bookmarkEnd w:id="502"/>
      <w:bookmarkEnd w:id="503"/>
      <w:bookmarkEnd w:id="504"/>
      <w:bookmarkEnd w:id="505"/>
      <w:bookmarkEnd w:id="506"/>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left="596" w:leftChars="284"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left="596" w:leftChars="284" w:right="0" w:rightChars="0"/>
        <w:textAlignment w:val="auto"/>
        <w:outlineLvl w:val="0"/>
        <w:rPr>
          <w:rFonts w:hint="eastAsia" w:ascii="宋体" w:hAnsi="宋体" w:eastAsia="宋体" w:cs="宋体"/>
          <w:color w:val="000000"/>
          <w:sz w:val="24"/>
          <w:szCs w:val="24"/>
        </w:rPr>
      </w:pPr>
      <w:bookmarkStart w:id="507" w:name="_Toc27631"/>
      <w:bookmarkStart w:id="508" w:name="_Toc29324"/>
      <w:bookmarkStart w:id="509" w:name="_Toc3493"/>
      <w:bookmarkStart w:id="510" w:name="_Toc13646"/>
      <w:bookmarkStart w:id="511" w:name="_Toc31325"/>
      <w:bookmarkStart w:id="512" w:name="_Toc22989"/>
      <w:bookmarkStart w:id="513" w:name="_Toc14681"/>
      <w:bookmarkStart w:id="514" w:name="_Toc16152"/>
      <w:bookmarkStart w:id="515" w:name="_Toc28867"/>
      <w:bookmarkStart w:id="516" w:name="_Toc19253"/>
      <w:r>
        <w:rPr>
          <w:rFonts w:hint="eastAsia" w:ascii="宋体" w:hAnsi="宋体" w:eastAsia="宋体" w:cs="宋体"/>
          <w:color w:val="000000"/>
          <w:sz w:val="24"/>
          <w:szCs w:val="24"/>
        </w:rPr>
        <w:t>1.11.2 关于承包人为实施工程所编制文件的著作权的归属：</w:t>
      </w:r>
      <w:bookmarkEnd w:id="507"/>
      <w:bookmarkEnd w:id="508"/>
      <w:bookmarkEnd w:id="509"/>
      <w:bookmarkEnd w:id="510"/>
      <w:bookmarkEnd w:id="511"/>
      <w:bookmarkEnd w:id="512"/>
      <w:bookmarkEnd w:id="513"/>
      <w:bookmarkEnd w:id="514"/>
      <w:bookmarkEnd w:id="515"/>
      <w:bookmarkEnd w:id="516"/>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outlineLvl w:val="0"/>
        <w:rPr>
          <w:rFonts w:hint="eastAsia" w:ascii="宋体" w:hAnsi="宋体" w:eastAsia="宋体" w:cs="宋体"/>
          <w:color w:val="000000"/>
          <w:kern w:val="0"/>
          <w:sz w:val="24"/>
          <w:szCs w:val="24"/>
        </w:rPr>
      </w:pPr>
      <w:bookmarkStart w:id="517" w:name="_Toc7142"/>
      <w:bookmarkStart w:id="518" w:name="_Toc29549"/>
      <w:bookmarkStart w:id="519" w:name="_Toc16327"/>
      <w:bookmarkStart w:id="520" w:name="_Toc23475"/>
      <w:bookmarkStart w:id="521" w:name="_Toc18890"/>
      <w:bookmarkStart w:id="522" w:name="_Toc31666"/>
      <w:bookmarkStart w:id="523" w:name="_Toc30534"/>
      <w:bookmarkStart w:id="524" w:name="_Toc9982"/>
      <w:bookmarkStart w:id="525" w:name="_Toc21590"/>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bookmarkEnd w:id="517"/>
      <w:bookmarkEnd w:id="518"/>
      <w:bookmarkEnd w:id="519"/>
      <w:bookmarkEnd w:id="520"/>
      <w:bookmarkEnd w:id="521"/>
      <w:bookmarkEnd w:id="522"/>
      <w:bookmarkEnd w:id="523"/>
      <w:bookmarkEnd w:id="524"/>
      <w:bookmarkEnd w:id="525"/>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526" w:name="_Toc351203634"/>
      <w:r>
        <w:rPr>
          <w:rFonts w:hint="eastAsia" w:ascii="宋体" w:hAnsi="宋体" w:eastAsia="宋体" w:cs="宋体"/>
          <w:b w:val="0"/>
          <w:color w:val="000000"/>
          <w:sz w:val="24"/>
          <w:szCs w:val="24"/>
        </w:rPr>
        <w:t>2</w:t>
      </w:r>
      <w:bookmarkStart w:id="527" w:name="_Toc297120457"/>
      <w:bookmarkStart w:id="528" w:name="_Toc297048343"/>
      <w:bookmarkStart w:id="529" w:name="_Toc296891197"/>
      <w:bookmarkStart w:id="530" w:name="_Toc296890985"/>
      <w:bookmarkStart w:id="531" w:name="_Toc296503157"/>
      <w:bookmarkStart w:id="532" w:name="_Toc296944496"/>
      <w:bookmarkStart w:id="533" w:name="_Toc296346658"/>
      <w:bookmarkStart w:id="534" w:name="_Toc292559362"/>
      <w:bookmarkStart w:id="535" w:name="_Toc292559867"/>
      <w:bookmarkStart w:id="536" w:name="_Toc296347156"/>
      <w:r>
        <w:rPr>
          <w:rFonts w:hint="eastAsia" w:ascii="宋体" w:hAnsi="宋体" w:eastAsia="宋体" w:cs="宋体"/>
          <w:b w:val="0"/>
          <w:color w:val="000000"/>
          <w:sz w:val="24"/>
          <w:szCs w:val="24"/>
        </w:rPr>
        <w:t>. 发包人</w:t>
      </w:r>
      <w:bookmarkEnd w:id="526"/>
    </w:p>
    <w:bookmarkEnd w:id="527"/>
    <w:bookmarkEnd w:id="528"/>
    <w:bookmarkEnd w:id="529"/>
    <w:bookmarkEnd w:id="530"/>
    <w:bookmarkEnd w:id="531"/>
    <w:bookmarkEnd w:id="532"/>
    <w:bookmarkEnd w:id="533"/>
    <w:bookmarkEnd w:id="534"/>
    <w:bookmarkEnd w:id="535"/>
    <w:bookmarkEnd w:id="536"/>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537" w:name="_Toc28487"/>
      <w:bookmarkStart w:id="538" w:name="_Toc27325"/>
      <w:bookmarkStart w:id="539" w:name="_Toc1002"/>
      <w:bookmarkStart w:id="540" w:name="_Toc25278"/>
      <w:bookmarkStart w:id="541" w:name="_Toc17454"/>
      <w:bookmarkStart w:id="542" w:name="_Toc9549"/>
      <w:bookmarkStart w:id="543" w:name="_Toc32484"/>
      <w:bookmarkStart w:id="544" w:name="_Toc14798"/>
      <w:bookmarkStart w:id="545" w:name="_Toc4320"/>
      <w:bookmarkStart w:id="546" w:name="_Toc30255"/>
      <w:r>
        <w:rPr>
          <w:rFonts w:hint="eastAsia" w:ascii="宋体" w:hAnsi="宋体" w:eastAsia="宋体" w:cs="宋体"/>
          <w:color w:val="000000"/>
          <w:sz w:val="24"/>
          <w:szCs w:val="24"/>
        </w:rPr>
        <w:t>2.2 发包人代表</w:t>
      </w:r>
      <w:bookmarkEnd w:id="537"/>
      <w:bookmarkEnd w:id="538"/>
      <w:bookmarkEnd w:id="539"/>
      <w:bookmarkEnd w:id="540"/>
      <w:bookmarkEnd w:id="541"/>
      <w:bookmarkEnd w:id="542"/>
      <w:bookmarkEnd w:id="543"/>
      <w:bookmarkEnd w:id="544"/>
      <w:bookmarkEnd w:id="545"/>
      <w:bookmarkEnd w:id="546"/>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547" w:name="_Toc17617"/>
      <w:bookmarkStart w:id="548" w:name="_Toc8351"/>
      <w:bookmarkStart w:id="549" w:name="_Toc2704"/>
      <w:bookmarkStart w:id="550" w:name="_Toc18622"/>
      <w:bookmarkStart w:id="551" w:name="_Toc29346"/>
      <w:bookmarkStart w:id="552" w:name="_Toc25373"/>
      <w:bookmarkStart w:id="553" w:name="_Toc7820"/>
      <w:bookmarkStart w:id="554" w:name="_Toc19267"/>
      <w:bookmarkStart w:id="555" w:name="_Toc29348"/>
      <w:bookmarkStart w:id="556" w:name="_Toc14187"/>
      <w:r>
        <w:rPr>
          <w:rFonts w:hint="eastAsia" w:ascii="宋体" w:hAnsi="宋体" w:eastAsia="宋体" w:cs="宋体"/>
          <w:color w:val="000000"/>
          <w:sz w:val="24"/>
          <w:szCs w:val="24"/>
        </w:rPr>
        <w:t>2.4 施工现场、施工条件和基础资料的提供</w:t>
      </w:r>
      <w:bookmarkEnd w:id="547"/>
      <w:bookmarkEnd w:id="548"/>
      <w:bookmarkEnd w:id="549"/>
      <w:bookmarkEnd w:id="550"/>
      <w:bookmarkEnd w:id="551"/>
      <w:bookmarkEnd w:id="552"/>
      <w:bookmarkEnd w:id="553"/>
      <w:bookmarkEnd w:id="554"/>
      <w:bookmarkEnd w:id="555"/>
      <w:bookmarkEnd w:id="556"/>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557" w:name="_Toc10169"/>
      <w:bookmarkStart w:id="558" w:name="_Toc17264"/>
      <w:bookmarkStart w:id="559" w:name="_Toc22720"/>
      <w:bookmarkStart w:id="560" w:name="_Toc28534"/>
      <w:bookmarkStart w:id="561" w:name="_Toc8008"/>
      <w:bookmarkStart w:id="562" w:name="_Toc19240"/>
      <w:bookmarkStart w:id="563" w:name="_Toc18703"/>
      <w:bookmarkStart w:id="564" w:name="_Toc10289"/>
      <w:bookmarkStart w:id="565" w:name="_Toc16976"/>
      <w:bookmarkStart w:id="566" w:name="_Toc6031"/>
      <w:r>
        <w:rPr>
          <w:rFonts w:hint="eastAsia" w:ascii="宋体" w:hAnsi="宋体" w:eastAsia="宋体" w:cs="宋体"/>
          <w:color w:val="000000"/>
          <w:sz w:val="24"/>
          <w:szCs w:val="24"/>
        </w:rPr>
        <w:t>2.5 资金来源证明及支付担保</w:t>
      </w:r>
      <w:bookmarkEnd w:id="557"/>
      <w:bookmarkEnd w:id="558"/>
      <w:bookmarkEnd w:id="559"/>
      <w:bookmarkEnd w:id="560"/>
      <w:bookmarkEnd w:id="561"/>
      <w:bookmarkEnd w:id="562"/>
      <w:bookmarkEnd w:id="563"/>
      <w:bookmarkEnd w:id="564"/>
      <w:bookmarkEnd w:id="565"/>
      <w:bookmarkEnd w:id="566"/>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567" w:name="_Toc351203635"/>
      <w:r>
        <w:rPr>
          <w:rFonts w:hint="eastAsia" w:ascii="宋体" w:hAnsi="宋体" w:eastAsia="宋体" w:cs="宋体"/>
          <w:b w:val="0"/>
          <w:color w:val="000000"/>
          <w:sz w:val="24"/>
          <w:szCs w:val="24"/>
        </w:rPr>
        <w:t>3</w:t>
      </w:r>
      <w:bookmarkStart w:id="568" w:name="_Toc296891198"/>
      <w:bookmarkStart w:id="569" w:name="_Toc297048344"/>
      <w:bookmarkStart w:id="570" w:name="_Toc296347157"/>
      <w:bookmarkStart w:id="571" w:name="_Toc296346659"/>
      <w:bookmarkStart w:id="572" w:name="_Toc296944497"/>
      <w:bookmarkStart w:id="573" w:name="_Toc297120458"/>
      <w:bookmarkStart w:id="574" w:name="_Toc292559868"/>
      <w:bookmarkStart w:id="575" w:name="_Toc292559363"/>
      <w:bookmarkStart w:id="576" w:name="_Toc296503158"/>
      <w:bookmarkStart w:id="577" w:name="_Toc296890986"/>
      <w:r>
        <w:rPr>
          <w:rFonts w:hint="eastAsia" w:ascii="宋体" w:hAnsi="宋体" w:eastAsia="宋体" w:cs="宋体"/>
          <w:b w:val="0"/>
          <w:color w:val="000000"/>
          <w:sz w:val="24"/>
          <w:szCs w:val="24"/>
        </w:rPr>
        <w:t>. 承包人</w:t>
      </w:r>
      <w:bookmarkEnd w:id="567"/>
    </w:p>
    <w:bookmarkEnd w:id="568"/>
    <w:bookmarkEnd w:id="569"/>
    <w:bookmarkEnd w:id="570"/>
    <w:bookmarkEnd w:id="571"/>
    <w:bookmarkEnd w:id="572"/>
    <w:bookmarkEnd w:id="573"/>
    <w:bookmarkEnd w:id="574"/>
    <w:bookmarkEnd w:id="575"/>
    <w:bookmarkEnd w:id="576"/>
    <w:bookmarkEnd w:id="577"/>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（9）</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left="638" w:leftChars="304"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left="638" w:leftChars="304"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（10）承包人应履行的其他义务：</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578" w:name="_Toc12264"/>
      <w:bookmarkStart w:id="579" w:name="_Toc780"/>
      <w:bookmarkStart w:id="580" w:name="_Toc21573"/>
      <w:bookmarkStart w:id="581" w:name="_Toc30386"/>
      <w:bookmarkStart w:id="582" w:name="_Toc25035"/>
      <w:bookmarkStart w:id="583" w:name="_Toc22522"/>
      <w:bookmarkStart w:id="584" w:name="_Toc18564"/>
      <w:bookmarkStart w:id="585" w:name="_Toc26730"/>
      <w:bookmarkStart w:id="586" w:name="_Toc18177"/>
      <w:bookmarkStart w:id="587" w:name="_Toc5113"/>
      <w:r>
        <w:rPr>
          <w:rFonts w:hint="eastAsia" w:ascii="宋体" w:hAnsi="宋体" w:eastAsia="宋体" w:cs="宋体"/>
          <w:color w:val="000000"/>
          <w:sz w:val="24"/>
          <w:szCs w:val="24"/>
        </w:rPr>
        <w:t>3.2.4 承包人无正当理由拒绝更换项目经理的违约责任：</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bookmarkEnd w:id="578"/>
      <w:bookmarkEnd w:id="579"/>
      <w:bookmarkEnd w:id="580"/>
      <w:bookmarkEnd w:id="581"/>
      <w:bookmarkEnd w:id="582"/>
      <w:bookmarkEnd w:id="583"/>
      <w:bookmarkEnd w:id="584"/>
      <w:bookmarkEnd w:id="585"/>
      <w:bookmarkEnd w:id="586"/>
      <w:bookmarkEnd w:id="587"/>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3.3.4 承包人主要施工管理人员离开施工现场的批准要求：</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588" w:name="_Toc296890987"/>
      <w:bookmarkStart w:id="589" w:name="_Toc296346660"/>
      <w:bookmarkStart w:id="590" w:name="_Toc297123492"/>
      <w:bookmarkStart w:id="591" w:name="_Toc296503159"/>
      <w:bookmarkStart w:id="592" w:name="_Toc292559869"/>
      <w:bookmarkStart w:id="593" w:name="_Toc296347158"/>
      <w:bookmarkStart w:id="594" w:name="_Toc296891199"/>
      <w:bookmarkStart w:id="595" w:name="_Toc296944498"/>
      <w:bookmarkStart w:id="596" w:name="_Toc297048345"/>
      <w:bookmarkStart w:id="597" w:name="_Toc297120459"/>
      <w:bookmarkStart w:id="598" w:name="_Toc300934945"/>
      <w:bookmarkStart w:id="599" w:name="_Toc304295523"/>
      <w:bookmarkStart w:id="600" w:name="_Toc312677988"/>
      <w:bookmarkStart w:id="601" w:name="_Toc303539102"/>
      <w:bookmarkStart w:id="602" w:name="_Toc292559364"/>
      <w:bookmarkStart w:id="603" w:name="_Toc297216151"/>
      <w:r>
        <w:rPr>
          <w:rFonts w:hint="eastAsia" w:ascii="宋体" w:hAnsi="宋体" w:eastAsia="宋体" w:cs="宋体"/>
          <w:color w:val="000000"/>
          <w:sz w:val="24"/>
          <w:szCs w:val="24"/>
        </w:rPr>
        <w:t>.5 分包</w:t>
      </w:r>
    </w:p>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bookmarkStart w:id="604" w:name="_Toc296890988"/>
      <w:bookmarkStart w:id="605" w:name="_Toc296944499"/>
      <w:bookmarkStart w:id="606" w:name="_Toc296891200"/>
      <w:bookmarkStart w:id="607" w:name="_Toc297048346"/>
      <w:bookmarkStart w:id="608" w:name="_Toc304295524"/>
      <w:bookmarkStart w:id="609" w:name="_Toc296503160"/>
      <w:bookmarkStart w:id="610" w:name="_Toc297216152"/>
      <w:bookmarkStart w:id="611" w:name="_Toc297120460"/>
      <w:bookmarkStart w:id="612" w:name="_Toc292559365"/>
      <w:bookmarkStart w:id="613" w:name="_Toc296347159"/>
      <w:bookmarkStart w:id="614" w:name="_Toc300934946"/>
      <w:bookmarkStart w:id="615" w:name="_Toc303539103"/>
      <w:bookmarkStart w:id="616" w:name="_Toc296346661"/>
      <w:bookmarkStart w:id="617" w:name="_Toc292559870"/>
      <w:bookmarkStart w:id="618" w:name="_Toc297123493"/>
      <w:bookmarkStart w:id="619" w:name="_Toc312677989"/>
      <w:bookmarkStart w:id="620" w:name="_Toc318581158"/>
      <w:r>
        <w:rPr>
          <w:rFonts w:hint="eastAsia" w:ascii="宋体" w:hAnsi="宋体" w:eastAsia="宋体" w:cs="宋体"/>
          <w:sz w:val="24"/>
          <w:szCs w:val="24"/>
        </w:rPr>
        <w:t>.5.1 分包的一般约定</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21" w:name="_Toc296890989"/>
      <w:bookmarkStart w:id="622" w:name="_Toc303539104"/>
      <w:bookmarkStart w:id="623" w:name="_Toc296891201"/>
      <w:bookmarkStart w:id="624" w:name="_Toc296347160"/>
      <w:bookmarkStart w:id="625" w:name="_Toc297216153"/>
      <w:bookmarkStart w:id="626" w:name="_Toc296944500"/>
      <w:bookmarkStart w:id="627" w:name="_Toc297120461"/>
      <w:bookmarkStart w:id="628" w:name="_Toc296346662"/>
      <w:bookmarkStart w:id="629" w:name="_Toc300934947"/>
      <w:bookmarkStart w:id="630" w:name="_Toc296503161"/>
      <w:bookmarkStart w:id="631" w:name="_Toc297123494"/>
      <w:bookmarkStart w:id="632" w:name="_Toc304295525"/>
      <w:bookmarkStart w:id="633" w:name="_Toc297048347"/>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 xml:space="preserve">    3</w:t>
      </w:r>
      <w:bookmarkStart w:id="634" w:name="_Toc318581159"/>
      <w:bookmarkStart w:id="635" w:name="_Toc312677990"/>
      <w:r>
        <w:rPr>
          <w:rFonts w:hint="eastAsia" w:ascii="宋体" w:hAnsi="宋体" w:eastAsia="宋体" w:cs="宋体"/>
          <w:sz w:val="24"/>
          <w:szCs w:val="24"/>
        </w:rPr>
        <w:t>.5.2分包的确定</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其他关于分包的约定：</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分包合同价款</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34"/>
    <w:bookmarkEnd w:id="635"/>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pPr>
        <w:pageBreakBefore w:val="0"/>
        <w:widowControl w:val="0"/>
        <w:kinsoku/>
        <w:wordWrap/>
        <w:overflowPunct/>
        <w:topLinePunct w:val="0"/>
        <w:bidi w:val="0"/>
        <w:snapToGrid/>
        <w:spacing w:before="120" w:after="120" w:line="440" w:lineRule="exact"/>
        <w:ind w:right="0" w:rightChars="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636" w:name="_Toc351203636"/>
      <w:r>
        <w:rPr>
          <w:rFonts w:hint="eastAsia" w:ascii="宋体" w:hAnsi="宋体" w:eastAsia="宋体" w:cs="宋体"/>
          <w:b w:val="0"/>
          <w:color w:val="000000"/>
          <w:sz w:val="24"/>
          <w:szCs w:val="24"/>
        </w:rPr>
        <w:t>4</w:t>
      </w:r>
      <w:bookmarkStart w:id="637" w:name="_Toc267251413"/>
      <w:bookmarkStart w:id="638" w:name="_Toc296891202"/>
      <w:bookmarkStart w:id="639" w:name="_Toc297120462"/>
      <w:bookmarkStart w:id="640" w:name="_Toc296347161"/>
      <w:bookmarkStart w:id="641" w:name="_Toc292559871"/>
      <w:bookmarkStart w:id="642" w:name="_Toc296944501"/>
      <w:bookmarkStart w:id="643" w:name="_Toc296890990"/>
      <w:bookmarkStart w:id="644" w:name="_Toc297048348"/>
      <w:bookmarkStart w:id="645" w:name="_Toc296503162"/>
      <w:bookmarkStart w:id="646" w:name="_Toc292559366"/>
      <w:bookmarkStart w:id="647" w:name="_Toc296346663"/>
      <w:r>
        <w:rPr>
          <w:rFonts w:hint="eastAsia" w:ascii="宋体" w:hAnsi="宋体" w:eastAsia="宋体" w:cs="宋体"/>
          <w:b w:val="0"/>
          <w:color w:val="000000"/>
          <w:sz w:val="24"/>
          <w:szCs w:val="24"/>
        </w:rPr>
        <w:t>. 监</w:t>
      </w:r>
      <w:bookmarkEnd w:id="637"/>
      <w:bookmarkEnd w:id="638"/>
      <w:bookmarkEnd w:id="639"/>
      <w:bookmarkEnd w:id="640"/>
      <w:bookmarkEnd w:id="641"/>
      <w:bookmarkEnd w:id="642"/>
      <w:bookmarkEnd w:id="643"/>
      <w:bookmarkEnd w:id="644"/>
      <w:bookmarkEnd w:id="645"/>
      <w:bookmarkEnd w:id="646"/>
      <w:bookmarkEnd w:id="647"/>
      <w:r>
        <w:rPr>
          <w:rFonts w:hint="eastAsia" w:ascii="宋体" w:hAnsi="宋体" w:eastAsia="宋体" w:cs="宋体"/>
          <w:b w:val="0"/>
          <w:color w:val="000000"/>
          <w:sz w:val="24"/>
          <w:szCs w:val="24"/>
        </w:rPr>
        <w:t>理人</w:t>
      </w:r>
      <w:bookmarkEnd w:id="636"/>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pPr>
        <w:pageBreakBefore w:val="0"/>
        <w:widowControl w:val="0"/>
        <w:kinsoku/>
        <w:wordWrap/>
        <w:overflowPunct/>
        <w:topLinePunct w:val="0"/>
        <w:bidi w:val="0"/>
        <w:snapToGrid/>
        <w:spacing w:line="440" w:lineRule="exact"/>
        <w:ind w:right="0" w:rightChars="0" w:firstLine="480" w:firstLineChars="200"/>
        <w:textAlignment w:val="auto"/>
        <w:rPr>
          <w:rFonts w:hint="eastAsia" w:ascii="宋体" w:hAnsi="宋体" w:eastAsia="宋体" w:cs="宋体"/>
          <w:color w:val="000000"/>
          <w:sz w:val="24"/>
          <w:szCs w:val="24"/>
        </w:rPr>
      </w:pPr>
      <w:bookmarkStart w:id="648" w:name="_Toc267251418"/>
      <w:r>
        <w:rPr>
          <w:rFonts w:hint="eastAsia" w:ascii="宋体" w:hAnsi="宋体" w:eastAsia="宋体" w:cs="宋体"/>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649" w:name="_Toc351203637"/>
      <w:r>
        <w:rPr>
          <w:rFonts w:hint="eastAsia" w:ascii="宋体" w:hAnsi="宋体" w:eastAsia="宋体" w:cs="宋体"/>
          <w:b w:val="0"/>
          <w:color w:val="000000"/>
          <w:sz w:val="24"/>
          <w:szCs w:val="24"/>
        </w:rPr>
        <w:t>5</w:t>
      </w:r>
      <w:bookmarkEnd w:id="648"/>
      <w:bookmarkStart w:id="650" w:name="_Toc296944502"/>
      <w:bookmarkStart w:id="651" w:name="_Toc296347162"/>
      <w:bookmarkStart w:id="652" w:name="_Toc296891203"/>
      <w:bookmarkStart w:id="653" w:name="_Toc292559872"/>
      <w:bookmarkStart w:id="654" w:name="_Toc296890991"/>
      <w:bookmarkStart w:id="655" w:name="_Toc296346664"/>
      <w:bookmarkStart w:id="656" w:name="_Toc297048349"/>
      <w:bookmarkStart w:id="657" w:name="_Toc296503163"/>
      <w:bookmarkStart w:id="658" w:name="_Toc292559367"/>
      <w:bookmarkStart w:id="659" w:name="_Toc297120463"/>
      <w:r>
        <w:rPr>
          <w:rFonts w:hint="eastAsia" w:ascii="宋体" w:hAnsi="宋体" w:eastAsia="宋体" w:cs="宋体"/>
          <w:b w:val="0"/>
          <w:color w:val="000000"/>
          <w:sz w:val="24"/>
          <w:szCs w:val="24"/>
        </w:rPr>
        <w:t>. 工程质量</w:t>
      </w:r>
      <w:bookmarkEnd w:id="649"/>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660" w:name="_Toc5418"/>
      <w:bookmarkStart w:id="661" w:name="_Toc26327"/>
      <w:bookmarkStart w:id="662" w:name="_Toc4549"/>
      <w:bookmarkStart w:id="663" w:name="_Toc6386"/>
      <w:bookmarkStart w:id="664" w:name="_Toc16000"/>
      <w:bookmarkStart w:id="665" w:name="_Toc19169"/>
      <w:bookmarkStart w:id="666" w:name="_Toc30463"/>
      <w:bookmarkStart w:id="667" w:name="_Toc299"/>
      <w:bookmarkStart w:id="668" w:name="_Toc3911"/>
      <w:bookmarkStart w:id="669" w:name="_Toc30343"/>
      <w:r>
        <w:rPr>
          <w:rFonts w:hint="eastAsia" w:ascii="宋体" w:hAnsi="宋体" w:eastAsia="宋体" w:cs="宋体"/>
          <w:color w:val="000000"/>
          <w:sz w:val="24"/>
          <w:szCs w:val="24"/>
        </w:rPr>
        <w:t>5.1 质量要求</w:t>
      </w:r>
      <w:bookmarkEnd w:id="660"/>
      <w:bookmarkEnd w:id="661"/>
      <w:bookmarkEnd w:id="662"/>
      <w:bookmarkEnd w:id="663"/>
      <w:bookmarkEnd w:id="664"/>
      <w:bookmarkEnd w:id="665"/>
      <w:bookmarkEnd w:id="666"/>
      <w:bookmarkEnd w:id="667"/>
      <w:bookmarkEnd w:id="668"/>
      <w:bookmarkEnd w:id="669"/>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5</w:t>
      </w:r>
      <w:bookmarkStart w:id="670" w:name="_Toc297216155"/>
      <w:bookmarkStart w:id="671" w:name="_Toc300934949"/>
      <w:bookmarkStart w:id="672" w:name="_Toc318581164"/>
      <w:bookmarkStart w:id="673" w:name="_Toc304295527"/>
      <w:bookmarkStart w:id="674" w:name="_Toc303539106"/>
      <w:bookmarkStart w:id="675" w:name="_Toc297123496"/>
      <w:bookmarkStart w:id="676" w:name="_Toc312677997"/>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677" w:name="_Toc6593"/>
      <w:bookmarkStart w:id="678" w:name="_Toc5308"/>
      <w:bookmarkStart w:id="679" w:name="_Toc27082"/>
      <w:bookmarkStart w:id="680" w:name="_Toc15602"/>
      <w:bookmarkStart w:id="681" w:name="_Toc325"/>
      <w:bookmarkStart w:id="682" w:name="_Toc27777"/>
      <w:bookmarkStart w:id="683" w:name="_Toc18694"/>
      <w:bookmarkStart w:id="684" w:name="_Toc31834"/>
      <w:bookmarkStart w:id="685" w:name="_Toc14557"/>
      <w:bookmarkStart w:id="686" w:name="_Toc11574"/>
      <w:r>
        <w:rPr>
          <w:rFonts w:hint="eastAsia" w:ascii="宋体" w:hAnsi="宋体" w:eastAsia="宋体" w:cs="宋体"/>
          <w:color w:val="000000"/>
          <w:sz w:val="24"/>
          <w:szCs w:val="24"/>
        </w:rPr>
        <w:t>5.3 隐蔽工程检查</w:t>
      </w:r>
      <w:bookmarkEnd w:id="677"/>
      <w:bookmarkEnd w:id="678"/>
      <w:bookmarkEnd w:id="679"/>
      <w:bookmarkEnd w:id="680"/>
      <w:bookmarkEnd w:id="681"/>
      <w:bookmarkEnd w:id="682"/>
      <w:bookmarkEnd w:id="683"/>
      <w:bookmarkEnd w:id="684"/>
      <w:bookmarkEnd w:id="685"/>
      <w:bookmarkEnd w:id="686"/>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687" w:name="_Toc351203638"/>
      <w:r>
        <w:rPr>
          <w:rFonts w:hint="eastAsia" w:ascii="宋体" w:hAnsi="宋体" w:eastAsia="宋体" w:cs="宋体"/>
          <w:b w:val="0"/>
          <w:color w:val="000000"/>
          <w:sz w:val="24"/>
          <w:szCs w:val="24"/>
        </w:rPr>
        <w:t>6. 安全文明施工与环境保护</w:t>
      </w:r>
      <w:bookmarkEnd w:id="687"/>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br w:type="textWrapping"/>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6.1.5 文明施工</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670"/>
    <w:bookmarkEnd w:id="671"/>
    <w:bookmarkEnd w:id="672"/>
    <w:bookmarkEnd w:id="673"/>
    <w:bookmarkEnd w:id="674"/>
    <w:bookmarkEnd w:id="675"/>
    <w:bookmarkEnd w:id="676"/>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688" w:name="_Toc351203639"/>
      <w:r>
        <w:rPr>
          <w:rFonts w:hint="eastAsia" w:ascii="宋体" w:hAnsi="宋体" w:eastAsia="宋体" w:cs="宋体"/>
          <w:b w:val="0"/>
          <w:color w:val="000000"/>
          <w:sz w:val="24"/>
          <w:szCs w:val="24"/>
        </w:rPr>
        <w:t>7. 工期和进度</w:t>
      </w:r>
      <w:bookmarkEnd w:id="688"/>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sz w:val="24"/>
          <w:szCs w:val="24"/>
          <w:u w:val="single"/>
        </w:rPr>
        <w:t xml:space="preserve">   </w:t>
      </w:r>
    </w:p>
    <w:p>
      <w:pPr>
        <w:pageBreakBefore w:val="0"/>
        <w:widowControl w:val="0"/>
        <w:kinsoku/>
        <w:wordWrap/>
        <w:overflowPunct/>
        <w:topLinePunct w:val="0"/>
        <w:autoSpaceDE w:val="0"/>
        <w:autoSpaceDN w:val="0"/>
        <w:bidi w:val="0"/>
        <w:adjustRightInd w:val="0"/>
        <w:snapToGrid/>
        <w:spacing w:line="44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sz w:val="24"/>
          <w:szCs w:val="24"/>
          <w:u w:val="single"/>
        </w:rPr>
        <w:t xml:space="preserve">              </w:t>
      </w:r>
    </w:p>
    <w:p>
      <w:pPr>
        <w:pageBreakBefore w:val="0"/>
        <w:widowControl w:val="0"/>
        <w:kinsoku/>
        <w:wordWrap/>
        <w:overflowPunct/>
        <w:topLinePunct w:val="0"/>
        <w:autoSpaceDE w:val="0"/>
        <w:autoSpaceDN w:val="0"/>
        <w:bidi w:val="0"/>
        <w:adjustRightInd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89" w:name="_Toc297216173"/>
      <w:bookmarkStart w:id="690" w:name="_Toc312677479"/>
      <w:bookmarkStart w:id="691" w:name="_Toc304295541"/>
      <w:bookmarkStart w:id="692" w:name="_Toc300934966"/>
      <w:bookmarkStart w:id="693" w:name="_Toc297123514"/>
      <w:bookmarkStart w:id="694" w:name="_Toc312678005"/>
      <w:bookmarkStart w:id="695" w:name="_Toc303539123"/>
      <w:r>
        <w:rPr>
          <w:rFonts w:hint="eastAsia" w:ascii="宋体" w:hAnsi="宋体" w:eastAsia="宋体" w:cs="宋体"/>
          <w:color w:val="000000"/>
          <w:sz w:val="24"/>
          <w:szCs w:val="24"/>
        </w:rPr>
        <w:t>.2 施工进度计划</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pPr>
        <w:pageBreakBefore w:val="0"/>
        <w:widowControl w:val="0"/>
        <w:kinsoku/>
        <w:wordWrap/>
        <w:overflowPunct/>
        <w:topLinePunct w:val="0"/>
        <w:bidi w:val="0"/>
        <w:snapToGrid/>
        <w:spacing w:line="440" w:lineRule="exact"/>
        <w:ind w:right="0" w:rightChars="0" w:firstLine="645"/>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645"/>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天内发出开工通知的，承包人有权提出价格调整要求，或者解除合同。</w:t>
      </w:r>
    </w:p>
    <w:bookmarkEnd w:id="689"/>
    <w:bookmarkEnd w:id="690"/>
    <w:bookmarkEnd w:id="691"/>
    <w:bookmarkEnd w:id="692"/>
    <w:bookmarkEnd w:id="693"/>
    <w:bookmarkEnd w:id="694"/>
    <w:bookmarkEnd w:id="695"/>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96" w:name="_Toc297123516"/>
      <w:bookmarkStart w:id="697" w:name="_Toc297216175"/>
      <w:bookmarkStart w:id="698" w:name="_Toc303539125"/>
      <w:bookmarkStart w:id="699" w:name="_Toc304295546"/>
      <w:bookmarkStart w:id="700" w:name="_Toc300934968"/>
      <w:bookmarkStart w:id="701" w:name="_Toc312677484"/>
      <w:bookmarkStart w:id="702" w:name="_Toc312678010"/>
      <w:r>
        <w:rPr>
          <w:rFonts w:hint="eastAsia" w:ascii="宋体" w:hAnsi="宋体" w:eastAsia="宋体" w:cs="宋体"/>
          <w:color w:val="000000"/>
          <w:sz w:val="24"/>
          <w:szCs w:val="24"/>
        </w:rPr>
        <w:t>.5 工期延误</w:t>
      </w:r>
    </w:p>
    <w:bookmarkEnd w:id="696"/>
    <w:bookmarkEnd w:id="697"/>
    <w:bookmarkEnd w:id="698"/>
    <w:bookmarkEnd w:id="699"/>
    <w:bookmarkEnd w:id="700"/>
    <w:bookmarkEnd w:id="701"/>
    <w:bookmarkEnd w:id="702"/>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（7）因发包人原因导致工期延误的其他情形：</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bookmarkStart w:id="703" w:name="_Toc318581169"/>
      <w:bookmarkStart w:id="704" w:name="_Toc312678012"/>
      <w:bookmarkStart w:id="705" w:name="_Toc312677486"/>
      <w:bookmarkStart w:id="706" w:name="_Toc297216177"/>
      <w:bookmarkStart w:id="707" w:name="_Toc300934970"/>
      <w:bookmarkStart w:id="708" w:name="_Toc297123518"/>
      <w:bookmarkStart w:id="709" w:name="_Toc304295548"/>
      <w:bookmarkStart w:id="710" w:name="_Toc303539127"/>
      <w:r>
        <w:rPr>
          <w:rFonts w:hint="eastAsia" w:ascii="宋体" w:hAnsi="宋体" w:eastAsia="宋体" w:cs="宋体"/>
          <w:sz w:val="24"/>
          <w:szCs w:val="24"/>
        </w:rPr>
        <w:t>.5.2 因承包人原因导致工期延误</w:t>
      </w:r>
    </w:p>
    <w:bookmarkEnd w:id="703"/>
    <w:bookmarkEnd w:id="704"/>
    <w:bookmarkEnd w:id="705"/>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因</w:t>
      </w:r>
      <w:bookmarkStart w:id="711" w:name="_Toc312677487"/>
      <w:bookmarkStart w:id="712" w:name="_Toc312678013"/>
      <w:bookmarkStart w:id="713" w:name="_Toc318581170"/>
      <w:r>
        <w:rPr>
          <w:rFonts w:hint="eastAsia" w:ascii="宋体" w:hAnsi="宋体" w:eastAsia="宋体" w:cs="宋体"/>
          <w:sz w:val="24"/>
          <w:szCs w:val="24"/>
        </w:rPr>
        <w:t>承包人原因造成工期延误，逾期竣工违约金的计算方法为：</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706"/>
      <w:bookmarkEnd w:id="707"/>
      <w:bookmarkEnd w:id="708"/>
      <w:bookmarkEnd w:id="709"/>
      <w:bookmarkEnd w:id="710"/>
      <w:bookmarkEnd w:id="711"/>
      <w:bookmarkEnd w:id="712"/>
    </w:p>
    <w:bookmarkEnd w:id="713"/>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714" w:name="_Toc312678014"/>
      <w:bookmarkStart w:id="715" w:name="_Toc318581171"/>
      <w:r>
        <w:rPr>
          <w:rFonts w:hint="eastAsia" w:ascii="宋体" w:hAnsi="宋体" w:eastAsia="宋体" w:cs="宋体"/>
          <w:sz w:val="24"/>
          <w:szCs w:val="24"/>
        </w:rPr>
        <w:t>期竣工违约金的上限：</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714"/>
    <w:bookmarkEnd w:id="715"/>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716" w:name="_Toc304295549"/>
      <w:bookmarkStart w:id="717" w:name="_Toc300934971"/>
      <w:bookmarkStart w:id="718" w:name="_Toc312678015"/>
      <w:bookmarkStart w:id="719" w:name="_Toc297216178"/>
      <w:bookmarkStart w:id="720" w:name="_Toc297123519"/>
      <w:bookmarkStart w:id="721" w:name="_Toc303539128"/>
      <w:r>
        <w:rPr>
          <w:rFonts w:hint="eastAsia" w:ascii="宋体" w:hAnsi="宋体" w:eastAsia="宋体" w:cs="宋体"/>
          <w:color w:val="000000"/>
          <w:sz w:val="24"/>
          <w:szCs w:val="24"/>
        </w:rPr>
        <w:t>.6 不</w:t>
      </w:r>
      <w:bookmarkEnd w:id="716"/>
      <w:bookmarkEnd w:id="717"/>
      <w:bookmarkEnd w:id="718"/>
      <w:bookmarkEnd w:id="719"/>
      <w:bookmarkEnd w:id="720"/>
      <w:bookmarkEnd w:id="721"/>
      <w:r>
        <w:rPr>
          <w:rFonts w:hint="eastAsia" w:ascii="宋体" w:hAnsi="宋体" w:eastAsia="宋体" w:cs="宋体"/>
          <w:color w:val="000000"/>
          <w:sz w:val="24"/>
          <w:szCs w:val="24"/>
        </w:rPr>
        <w:t>利物质条件</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bookmarkStart w:id="722" w:name="_Toc300934972"/>
      <w:bookmarkStart w:id="723" w:name="_Toc318581172"/>
      <w:bookmarkStart w:id="724" w:name="_Toc303539129"/>
      <w:bookmarkStart w:id="725" w:name="_Toc297216179"/>
      <w:bookmarkStart w:id="726" w:name="_Toc312678016"/>
      <w:bookmarkStart w:id="727" w:name="_Toc304295550"/>
      <w:bookmarkStart w:id="728" w:name="_Toc297123520"/>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722"/>
    <w:bookmarkEnd w:id="723"/>
    <w:bookmarkEnd w:id="724"/>
    <w:bookmarkEnd w:id="725"/>
    <w:bookmarkEnd w:id="726"/>
    <w:bookmarkEnd w:id="727"/>
    <w:bookmarkEnd w:id="728"/>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729" w:name="_Toc297123521"/>
      <w:bookmarkStart w:id="730" w:name="_Toc297216180"/>
      <w:bookmarkStart w:id="731" w:name="_Toc300934973"/>
      <w:bookmarkStart w:id="732" w:name="_Toc312678017"/>
      <w:bookmarkStart w:id="733" w:name="_Toc304295551"/>
      <w:bookmarkStart w:id="734" w:name="_Toc303539130"/>
      <w:r>
        <w:rPr>
          <w:rFonts w:hint="eastAsia" w:ascii="宋体" w:hAnsi="宋体" w:eastAsia="宋体" w:cs="宋体"/>
          <w:color w:val="000000"/>
          <w:sz w:val="24"/>
          <w:szCs w:val="24"/>
        </w:rPr>
        <w:t>.7异常恶劣的气候条件</w:t>
      </w:r>
    </w:p>
    <w:bookmarkEnd w:id="729"/>
    <w:bookmarkEnd w:id="730"/>
    <w:bookmarkEnd w:id="731"/>
    <w:bookmarkEnd w:id="732"/>
    <w:bookmarkEnd w:id="733"/>
    <w:bookmarkEnd w:id="734"/>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735" w:name="_Toc9319"/>
      <w:bookmarkStart w:id="736" w:name="_Toc2665"/>
      <w:bookmarkStart w:id="737" w:name="_Toc5479"/>
      <w:bookmarkStart w:id="738" w:name="_Toc29338"/>
      <w:bookmarkStart w:id="739" w:name="_Toc22930"/>
      <w:bookmarkStart w:id="740" w:name="_Toc22764"/>
      <w:bookmarkStart w:id="741" w:name="_Toc20711"/>
      <w:bookmarkStart w:id="742" w:name="_Toc14566"/>
      <w:bookmarkStart w:id="743" w:name="_Toc31991"/>
      <w:r>
        <w:rPr>
          <w:rFonts w:hint="eastAsia" w:ascii="宋体" w:hAnsi="宋体" w:eastAsia="宋体" w:cs="宋体"/>
          <w:color w:val="000000"/>
          <w:sz w:val="24"/>
          <w:szCs w:val="24"/>
        </w:rPr>
        <w:t>7.9 提前竣工的奖励</w:t>
      </w:r>
      <w:bookmarkEnd w:id="735"/>
      <w:bookmarkEnd w:id="736"/>
      <w:bookmarkEnd w:id="737"/>
      <w:bookmarkEnd w:id="738"/>
      <w:bookmarkEnd w:id="739"/>
      <w:bookmarkEnd w:id="740"/>
      <w:bookmarkEnd w:id="741"/>
      <w:bookmarkEnd w:id="742"/>
      <w:bookmarkEnd w:id="743"/>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744" w:name="_Toc351203640"/>
      <w:r>
        <w:rPr>
          <w:rFonts w:hint="eastAsia" w:ascii="宋体" w:hAnsi="宋体" w:eastAsia="宋体" w:cs="宋体"/>
          <w:b w:val="0"/>
          <w:color w:val="000000"/>
          <w:sz w:val="24"/>
          <w:szCs w:val="24"/>
        </w:rPr>
        <w:t>8. 材料与设备</w:t>
      </w:r>
      <w:bookmarkEnd w:id="744"/>
    </w:p>
    <w:bookmarkEnd w:id="650"/>
    <w:bookmarkEnd w:id="651"/>
    <w:bookmarkEnd w:id="652"/>
    <w:bookmarkEnd w:id="653"/>
    <w:bookmarkEnd w:id="654"/>
    <w:bookmarkEnd w:id="655"/>
    <w:bookmarkEnd w:id="656"/>
    <w:bookmarkEnd w:id="657"/>
    <w:bookmarkEnd w:id="658"/>
    <w:bookmarkEnd w:id="659"/>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745" w:name="_Toc280868654"/>
      <w:bookmarkStart w:id="746" w:name="_Toc292559877"/>
      <w:bookmarkStart w:id="747" w:name="_Toc304295556"/>
      <w:bookmarkStart w:id="748" w:name="_Toc296503167"/>
      <w:bookmarkStart w:id="749" w:name="_Toc296347166"/>
      <w:bookmarkStart w:id="750" w:name="_Toc296891207"/>
      <w:bookmarkStart w:id="751" w:name="_Toc292559372"/>
      <w:bookmarkStart w:id="752" w:name="_Toc312678019"/>
      <w:bookmarkStart w:id="753" w:name="_Toc297120467"/>
      <w:bookmarkStart w:id="754" w:name="_Toc303539136"/>
      <w:bookmarkStart w:id="755" w:name="_Toc297048353"/>
      <w:bookmarkStart w:id="756" w:name="_Toc296346668"/>
      <w:bookmarkStart w:id="757" w:name="_Toc297123527"/>
      <w:bookmarkStart w:id="758" w:name="_Toc300934979"/>
      <w:bookmarkStart w:id="759" w:name="_Toc296890995"/>
      <w:bookmarkStart w:id="760" w:name="_Toc297216186"/>
      <w:bookmarkStart w:id="761" w:name="_Toc296944506"/>
      <w:bookmarkStart w:id="762" w:name="_Toc312677493"/>
      <w:bookmarkStart w:id="763" w:name="_Toc280868655"/>
      <w:bookmarkStart w:id="764" w:name="_Toc280868656"/>
      <w:bookmarkStart w:id="765" w:name="_Toc267251424"/>
      <w:r>
        <w:rPr>
          <w:rFonts w:hint="eastAsia" w:ascii="宋体" w:hAnsi="宋体" w:eastAsia="宋体" w:cs="宋体"/>
          <w:color w:val="000000"/>
          <w:sz w:val="24"/>
          <w:szCs w:val="24"/>
        </w:rPr>
        <w:t>.4材料与工程设备的保管与使用</w:t>
      </w:r>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8</w:t>
      </w:r>
      <w:bookmarkStart w:id="766" w:name="_Toc292559373"/>
      <w:bookmarkStart w:id="767" w:name="_Toc292559878"/>
      <w:bookmarkStart w:id="768" w:name="_Toc297216187"/>
      <w:bookmarkStart w:id="769" w:name="_Toc318581173"/>
      <w:bookmarkStart w:id="770" w:name="_Toc312677494"/>
      <w:bookmarkStart w:id="771" w:name="_Toc300934980"/>
      <w:bookmarkStart w:id="772" w:name="_Toc296346669"/>
      <w:bookmarkStart w:id="773" w:name="_Toc296503168"/>
      <w:bookmarkStart w:id="774" w:name="_Toc296890996"/>
      <w:bookmarkStart w:id="775" w:name="_Toc296944507"/>
      <w:bookmarkStart w:id="776" w:name="_Toc297048354"/>
      <w:bookmarkStart w:id="777" w:name="_Toc304295557"/>
      <w:bookmarkStart w:id="778" w:name="_Toc312678020"/>
      <w:bookmarkStart w:id="779" w:name="_Toc303539137"/>
      <w:bookmarkStart w:id="780" w:name="_Toc296891208"/>
      <w:bookmarkStart w:id="781" w:name="_Toc297123528"/>
      <w:bookmarkStart w:id="782" w:name="_Toc297120468"/>
      <w:bookmarkStart w:id="783" w:name="_Toc296347167"/>
      <w:r>
        <w:rPr>
          <w:rFonts w:hint="eastAsia" w:ascii="宋体" w:hAnsi="宋体" w:eastAsia="宋体" w:cs="宋体"/>
          <w:sz w:val="24"/>
          <w:szCs w:val="24"/>
        </w:rPr>
        <w:t>.4.1发包人供应的材料设备的保管费用的承担：</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766"/>
      <w:bookmarkEnd w:id="767"/>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784" w:name="_Toc21912"/>
      <w:bookmarkStart w:id="785" w:name="_Toc7529"/>
      <w:bookmarkStart w:id="786" w:name="_Toc12632"/>
      <w:bookmarkStart w:id="787" w:name="_Toc21724"/>
      <w:bookmarkStart w:id="788" w:name="_Toc10811"/>
      <w:bookmarkStart w:id="789" w:name="_Toc24991"/>
      <w:bookmarkStart w:id="790" w:name="_Toc6404"/>
      <w:bookmarkStart w:id="791" w:name="_Toc30464"/>
      <w:bookmarkStart w:id="792" w:name="_Toc18150"/>
      <w:bookmarkStart w:id="793" w:name="_Toc31924"/>
      <w:r>
        <w:rPr>
          <w:rFonts w:hint="eastAsia" w:ascii="宋体" w:hAnsi="宋体" w:eastAsia="宋体" w:cs="宋体"/>
          <w:color w:val="000000"/>
          <w:sz w:val="24"/>
          <w:szCs w:val="24"/>
        </w:rPr>
        <w:t>8.6 样品</w:t>
      </w:r>
      <w:bookmarkEnd w:id="784"/>
      <w:bookmarkEnd w:id="785"/>
      <w:bookmarkEnd w:id="786"/>
      <w:bookmarkEnd w:id="787"/>
      <w:bookmarkEnd w:id="788"/>
      <w:bookmarkEnd w:id="789"/>
      <w:bookmarkEnd w:id="790"/>
      <w:bookmarkEnd w:id="791"/>
      <w:bookmarkEnd w:id="792"/>
      <w:bookmarkEnd w:id="793"/>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rPr>
        <w:t>需要承包人报送样品的材料或工程设备，样品的种类、名称、规格、数量要求：</w:t>
      </w:r>
      <w:r>
        <w:rPr>
          <w:rFonts w:hint="eastAsia" w:ascii="宋体" w:hAnsi="宋体" w:eastAsia="宋体" w:cs="宋体"/>
          <w:sz w:val="24"/>
          <w:szCs w:val="24"/>
          <w:u w:val="single"/>
        </w:rPr>
        <w:t xml:space="preserve">                                          </w:t>
      </w:r>
    </w:p>
    <w:p>
      <w:pPr>
        <w:pageBreakBefore w:val="0"/>
        <w:widowControl w:val="0"/>
        <w:kinsoku/>
        <w:wordWrap/>
        <w:overflowPunct/>
        <w:topLinePunct w:val="0"/>
        <w:autoSpaceDE w:val="0"/>
        <w:autoSpaceDN w:val="0"/>
        <w:bidi w:val="0"/>
        <w:adjustRightInd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794" w:name="_Toc17225"/>
      <w:bookmarkStart w:id="795" w:name="_Toc27535"/>
      <w:bookmarkStart w:id="796" w:name="_Toc30907"/>
      <w:bookmarkStart w:id="797" w:name="_Toc11897"/>
      <w:bookmarkStart w:id="798" w:name="_Toc21695"/>
      <w:bookmarkStart w:id="799" w:name="_Toc26859"/>
      <w:bookmarkStart w:id="800" w:name="_Toc137"/>
      <w:bookmarkStart w:id="801" w:name="_Toc21165"/>
      <w:bookmarkStart w:id="802" w:name="_Toc21629"/>
      <w:bookmarkStart w:id="803" w:name="_Toc4395"/>
      <w:r>
        <w:rPr>
          <w:rFonts w:hint="eastAsia" w:ascii="宋体" w:hAnsi="宋体" w:eastAsia="宋体" w:cs="宋体"/>
          <w:color w:val="000000"/>
          <w:sz w:val="24"/>
          <w:szCs w:val="24"/>
        </w:rPr>
        <w:t>8.8 施工设备和临时设施</w:t>
      </w:r>
      <w:bookmarkEnd w:id="794"/>
      <w:bookmarkEnd w:id="795"/>
      <w:bookmarkEnd w:id="796"/>
      <w:bookmarkEnd w:id="797"/>
      <w:bookmarkEnd w:id="798"/>
      <w:bookmarkEnd w:id="799"/>
      <w:bookmarkEnd w:id="800"/>
      <w:bookmarkEnd w:id="801"/>
      <w:bookmarkEnd w:id="802"/>
      <w:bookmarkEnd w:id="803"/>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关于修建临时设施费用承担的约定：</w:t>
      </w:r>
      <w:r>
        <w:rPr>
          <w:rFonts w:hint="eastAsia" w:ascii="宋体" w:hAnsi="宋体" w:eastAsia="宋体" w:cs="宋体"/>
          <w:sz w:val="24"/>
          <w:szCs w:val="24"/>
          <w:u w:val="single"/>
        </w:rPr>
        <w:t xml:space="preserve">                     </w:t>
      </w:r>
    </w:p>
    <w:p>
      <w:pPr>
        <w:pageBreakBefore w:val="0"/>
        <w:widowControl w:val="0"/>
        <w:kinsoku/>
        <w:wordWrap/>
        <w:overflowPunct/>
        <w:topLinePunct w:val="0"/>
        <w:autoSpaceDE w:val="0"/>
        <w:autoSpaceDN w:val="0"/>
        <w:bidi w:val="0"/>
        <w:adjustRightInd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804" w:name="_Toc351203641"/>
      <w:r>
        <w:rPr>
          <w:rFonts w:hint="eastAsia" w:ascii="宋体" w:hAnsi="宋体" w:eastAsia="宋体" w:cs="宋体"/>
          <w:b w:val="0"/>
          <w:color w:val="000000"/>
          <w:sz w:val="24"/>
          <w:szCs w:val="24"/>
        </w:rPr>
        <w:t>9</w:t>
      </w:r>
      <w:bookmarkEnd w:id="763"/>
      <w:bookmarkEnd w:id="764"/>
      <w:bookmarkEnd w:id="765"/>
      <w:bookmarkStart w:id="805" w:name="_Toc304295559"/>
      <w:bookmarkStart w:id="806" w:name="_Toc297216192"/>
      <w:bookmarkStart w:id="807" w:name="_Toc312677495"/>
      <w:bookmarkStart w:id="808" w:name="_Toc297123533"/>
      <w:bookmarkStart w:id="809" w:name="_Toc312678021"/>
      <w:bookmarkStart w:id="810" w:name="_Toc300934982"/>
      <w:bookmarkStart w:id="811" w:name="_Toc303539139"/>
      <w:bookmarkStart w:id="812" w:name="_Toc296891213"/>
      <w:bookmarkStart w:id="813" w:name="_Toc292559378"/>
      <w:bookmarkStart w:id="814" w:name="_Toc292559883"/>
      <w:bookmarkStart w:id="815" w:name="_Toc267251428"/>
      <w:bookmarkStart w:id="816" w:name="_Toc296944512"/>
      <w:bookmarkStart w:id="817" w:name="_Toc297120473"/>
      <w:bookmarkStart w:id="818" w:name="_Toc267251427"/>
      <w:bookmarkStart w:id="819" w:name="_Toc296347172"/>
      <w:bookmarkStart w:id="820" w:name="_Toc296891001"/>
      <w:bookmarkStart w:id="821" w:name="_Toc296346674"/>
      <w:bookmarkStart w:id="822" w:name="_Toc296503173"/>
      <w:bookmarkStart w:id="823" w:name="_Toc297048359"/>
      <w:r>
        <w:rPr>
          <w:rFonts w:hint="eastAsia" w:ascii="宋体" w:hAnsi="宋体" w:eastAsia="宋体" w:cs="宋体"/>
          <w:b w:val="0"/>
          <w:color w:val="000000"/>
          <w:sz w:val="24"/>
          <w:szCs w:val="24"/>
        </w:rPr>
        <w:t>. 试验与检验</w:t>
      </w:r>
      <w:bookmarkEnd w:id="804"/>
    </w:p>
    <w:bookmarkEnd w:id="805"/>
    <w:bookmarkEnd w:id="806"/>
    <w:bookmarkEnd w:id="807"/>
    <w:bookmarkEnd w:id="808"/>
    <w:bookmarkEnd w:id="809"/>
    <w:bookmarkEnd w:id="810"/>
    <w:bookmarkEnd w:id="811"/>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824" w:name="_Toc297123534"/>
      <w:bookmarkStart w:id="825" w:name="_Toc297216193"/>
      <w:bookmarkStart w:id="826" w:name="_Toc312678022"/>
      <w:bookmarkStart w:id="827" w:name="_Toc303539140"/>
      <w:bookmarkStart w:id="828" w:name="_Toc312677496"/>
      <w:bookmarkStart w:id="829" w:name="_Toc300934983"/>
      <w:bookmarkStart w:id="830" w:name="_Toc304295560"/>
      <w:r>
        <w:rPr>
          <w:rFonts w:hint="eastAsia" w:ascii="宋体" w:hAnsi="宋体" w:eastAsia="宋体" w:cs="宋体"/>
          <w:color w:val="000000"/>
          <w:sz w:val="24"/>
          <w:szCs w:val="24"/>
        </w:rPr>
        <w:t>.1试验设备与试验人员</w:t>
      </w:r>
    </w:p>
    <w:bookmarkEnd w:id="824"/>
    <w:bookmarkEnd w:id="825"/>
    <w:bookmarkEnd w:id="826"/>
    <w:bookmarkEnd w:id="827"/>
    <w:bookmarkEnd w:id="828"/>
    <w:bookmarkEnd w:id="829"/>
    <w:bookmarkEnd w:id="830"/>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bookmarkStart w:id="831" w:name="_Toc300934984"/>
      <w:bookmarkStart w:id="832" w:name="_Toc297123535"/>
      <w:bookmarkStart w:id="833" w:name="_Toc297216194"/>
      <w:bookmarkStart w:id="834" w:name="_Toc304295561"/>
      <w:bookmarkStart w:id="835" w:name="_Toc303539141"/>
      <w:bookmarkStart w:id="836" w:name="_Toc312677497"/>
      <w:bookmarkStart w:id="837" w:name="_Toc312678023"/>
      <w:bookmarkStart w:id="838" w:name="_Toc318581174"/>
      <w:r>
        <w:rPr>
          <w:rFonts w:hint="eastAsia" w:ascii="宋体" w:hAnsi="宋体" w:eastAsia="宋体" w:cs="宋体"/>
          <w:sz w:val="24"/>
          <w:szCs w:val="24"/>
        </w:rPr>
        <w:t>.1.2 试验设备</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施工现场需要配置的试验场所：</w:t>
      </w:r>
      <w:bookmarkEnd w:id="831"/>
      <w:bookmarkEnd w:id="832"/>
      <w:bookmarkEnd w:id="833"/>
      <w:bookmarkEnd w:id="834"/>
      <w:bookmarkEnd w:id="835"/>
      <w:bookmarkEnd w:id="836"/>
      <w:bookmarkEnd w:id="837"/>
      <w:bookmarkStart w:id="839" w:name="_Toc297216195"/>
      <w:bookmarkStart w:id="840" w:name="_Toc312677498"/>
      <w:bookmarkStart w:id="841" w:name="_Toc297123536"/>
      <w:bookmarkStart w:id="842" w:name="_Toc312678024"/>
      <w:bookmarkStart w:id="843" w:name="_Toc303539142"/>
      <w:bookmarkStart w:id="844" w:name="_Toc304295562"/>
      <w:bookmarkStart w:id="845" w:name="_Toc300934985"/>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846" w:name="_Toc530"/>
      <w:bookmarkStart w:id="847" w:name="_Toc2084"/>
      <w:bookmarkStart w:id="848" w:name="_Toc3482"/>
      <w:bookmarkStart w:id="849" w:name="_Toc31528"/>
      <w:bookmarkStart w:id="850" w:name="_Toc11718"/>
      <w:bookmarkStart w:id="851" w:name="_Toc29771"/>
      <w:bookmarkStart w:id="852" w:name="_Toc26121"/>
      <w:bookmarkStart w:id="853" w:name="_Toc8280"/>
      <w:bookmarkStart w:id="854" w:name="_Toc31449"/>
      <w:bookmarkStart w:id="855" w:name="_Toc13994"/>
      <w:r>
        <w:rPr>
          <w:rFonts w:hint="eastAsia" w:ascii="宋体" w:hAnsi="宋体" w:eastAsia="宋体" w:cs="宋体"/>
          <w:color w:val="000000"/>
          <w:sz w:val="24"/>
          <w:szCs w:val="24"/>
        </w:rPr>
        <w:t>9.4 现场工艺试验</w:t>
      </w:r>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838"/>
    <w:bookmarkEnd w:id="839"/>
    <w:bookmarkEnd w:id="840"/>
    <w:bookmarkEnd w:id="841"/>
    <w:bookmarkEnd w:id="842"/>
    <w:bookmarkEnd w:id="843"/>
    <w:bookmarkEnd w:id="844"/>
    <w:bookmarkEnd w:id="845"/>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856" w:name="_Toc351203642"/>
      <w:r>
        <w:rPr>
          <w:rFonts w:hint="eastAsia" w:ascii="宋体" w:hAnsi="宋体" w:eastAsia="宋体" w:cs="宋体"/>
          <w:b w:val="0"/>
          <w:color w:val="000000"/>
          <w:sz w:val="24"/>
          <w:szCs w:val="24"/>
        </w:rPr>
        <w:t>1</w:t>
      </w:r>
      <w:bookmarkEnd w:id="812"/>
      <w:bookmarkEnd w:id="813"/>
      <w:bookmarkEnd w:id="814"/>
      <w:bookmarkEnd w:id="815"/>
      <w:bookmarkEnd w:id="816"/>
      <w:bookmarkEnd w:id="817"/>
      <w:bookmarkEnd w:id="818"/>
      <w:bookmarkEnd w:id="819"/>
      <w:bookmarkEnd w:id="820"/>
      <w:bookmarkEnd w:id="821"/>
      <w:bookmarkEnd w:id="822"/>
      <w:bookmarkEnd w:id="823"/>
      <w:bookmarkStart w:id="857" w:name="_Toc304295566"/>
      <w:bookmarkStart w:id="858" w:name="_Toc296944532"/>
      <w:bookmarkStart w:id="859" w:name="_Toc297123540"/>
      <w:bookmarkStart w:id="860" w:name="_Toc296891233"/>
      <w:bookmarkStart w:id="861" w:name="_Toc292559398"/>
      <w:bookmarkStart w:id="862" w:name="_Toc296891021"/>
      <w:bookmarkStart w:id="863" w:name="_Toc296346694"/>
      <w:bookmarkStart w:id="864" w:name="_Toc296347192"/>
      <w:bookmarkStart w:id="865" w:name="_Toc297048379"/>
      <w:bookmarkStart w:id="866" w:name="_Toc303539146"/>
      <w:bookmarkStart w:id="867" w:name="_Toc297120493"/>
      <w:bookmarkStart w:id="868" w:name="_Toc297216199"/>
      <w:bookmarkStart w:id="869" w:name="_Toc300934989"/>
      <w:bookmarkStart w:id="870" w:name="_Toc292559903"/>
      <w:bookmarkStart w:id="871" w:name="_Toc296503193"/>
      <w:bookmarkStart w:id="872" w:name="_Toc312678025"/>
      <w:bookmarkStart w:id="873" w:name="_Toc312677499"/>
      <w:bookmarkStart w:id="874" w:name="_Toc267251435"/>
      <w:bookmarkStart w:id="875" w:name="_Toc267251439"/>
      <w:bookmarkStart w:id="876" w:name="_Toc267251433"/>
      <w:bookmarkStart w:id="877" w:name="_Toc267251440"/>
      <w:bookmarkStart w:id="878" w:name="_Toc267251437"/>
      <w:bookmarkStart w:id="879" w:name="_Toc267251441"/>
      <w:bookmarkStart w:id="880" w:name="_Toc267251442"/>
      <w:r>
        <w:rPr>
          <w:rFonts w:hint="eastAsia" w:ascii="宋体" w:hAnsi="宋体" w:eastAsia="宋体" w:cs="宋体"/>
          <w:b w:val="0"/>
          <w:color w:val="000000"/>
          <w:sz w:val="24"/>
          <w:szCs w:val="24"/>
        </w:rPr>
        <w:t>0. 变更</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bookmarkEnd w:id="872"/>
    <w:bookmarkEnd w:id="873"/>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881" w:name="_Toc292559399"/>
      <w:bookmarkStart w:id="882" w:name="_Toc304295567"/>
      <w:bookmarkStart w:id="883" w:name="_Toc296346695"/>
      <w:bookmarkStart w:id="884" w:name="_Toc292559904"/>
      <w:bookmarkStart w:id="885" w:name="_Toc296347193"/>
      <w:bookmarkStart w:id="886" w:name="_Toc297048380"/>
      <w:bookmarkStart w:id="887" w:name="_Toc297123541"/>
      <w:bookmarkStart w:id="888" w:name="_Toc312677500"/>
      <w:bookmarkStart w:id="889" w:name="_Toc296891022"/>
      <w:bookmarkStart w:id="890" w:name="_Toc297216200"/>
      <w:bookmarkStart w:id="891" w:name="_Toc300934990"/>
      <w:bookmarkStart w:id="892" w:name="_Toc296503194"/>
      <w:bookmarkStart w:id="893" w:name="_Toc297120494"/>
      <w:bookmarkStart w:id="894" w:name="_Toc312678026"/>
      <w:bookmarkStart w:id="895" w:name="_Toc303539147"/>
      <w:bookmarkStart w:id="896" w:name="_Toc296891234"/>
      <w:bookmarkStart w:id="897" w:name="_Toc296944533"/>
      <w:r>
        <w:rPr>
          <w:rFonts w:hint="eastAsia" w:ascii="宋体" w:hAnsi="宋体" w:eastAsia="宋体" w:cs="宋体"/>
          <w:color w:val="000000"/>
          <w:sz w:val="24"/>
          <w:szCs w:val="24"/>
        </w:rPr>
        <w:t>0.1变更的范围</w:t>
      </w:r>
    </w:p>
    <w:p>
      <w:pPr>
        <w:pageBreakBefore w:val="0"/>
        <w:widowControl w:val="0"/>
        <w:kinsoku/>
        <w:wordWrap/>
        <w:overflowPunct/>
        <w:topLinePunct w:val="0"/>
        <w:bidi w:val="0"/>
        <w:snapToGrid/>
        <w:spacing w:line="440" w:lineRule="exact"/>
        <w:ind w:right="0" w:rightChars="0" w:firstLine="6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898" w:name="_Toc24561"/>
      <w:bookmarkStart w:id="899" w:name="_Toc25624"/>
      <w:bookmarkStart w:id="900" w:name="_Toc11139"/>
      <w:bookmarkStart w:id="901" w:name="_Toc18179"/>
      <w:bookmarkStart w:id="902" w:name="_Toc32573"/>
      <w:bookmarkStart w:id="903" w:name="_Toc8387"/>
      <w:bookmarkStart w:id="904" w:name="_Toc20975"/>
      <w:bookmarkStart w:id="905" w:name="_Toc8090"/>
      <w:bookmarkStart w:id="906" w:name="_Toc6114"/>
      <w:bookmarkStart w:id="907" w:name="_Toc946"/>
      <w:r>
        <w:rPr>
          <w:rFonts w:hint="eastAsia" w:ascii="宋体" w:hAnsi="宋体" w:eastAsia="宋体" w:cs="宋体"/>
          <w:color w:val="000000"/>
          <w:sz w:val="24"/>
          <w:szCs w:val="24"/>
        </w:rPr>
        <w:t>10.4 变更估价</w:t>
      </w:r>
      <w:bookmarkEnd w:id="898"/>
      <w:bookmarkEnd w:id="899"/>
      <w:bookmarkEnd w:id="900"/>
      <w:bookmarkEnd w:id="901"/>
      <w:bookmarkEnd w:id="902"/>
      <w:bookmarkEnd w:id="903"/>
      <w:bookmarkEnd w:id="904"/>
      <w:bookmarkEnd w:id="905"/>
      <w:bookmarkEnd w:id="906"/>
      <w:bookmarkEnd w:id="907"/>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10.4.1 变更估价原则</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关于变更估价的约定: </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Start w:id="908" w:name="_Toc303539150"/>
      <w:bookmarkStart w:id="909" w:name="_Toc296346698"/>
      <w:bookmarkStart w:id="910" w:name="_Toc296503197"/>
      <w:bookmarkStart w:id="911" w:name="_Toc292559402"/>
      <w:bookmarkStart w:id="912" w:name="_Toc300934993"/>
      <w:bookmarkStart w:id="913" w:name="_Toc297048383"/>
      <w:bookmarkStart w:id="914" w:name="_Toc296944536"/>
      <w:bookmarkStart w:id="915" w:name="_Toc296347196"/>
      <w:bookmarkStart w:id="916" w:name="_Toc297123544"/>
      <w:bookmarkStart w:id="917" w:name="_Toc297216203"/>
      <w:bookmarkStart w:id="918" w:name="_Toc292559907"/>
      <w:bookmarkStart w:id="919" w:name="_Toc297120497"/>
      <w:bookmarkStart w:id="920" w:name="_Toc296891025"/>
      <w:bookmarkStart w:id="921" w:name="_Toc296891237"/>
      <w:bookmarkStart w:id="922" w:name="_Toc304295570"/>
      <w:bookmarkStart w:id="923" w:name="_Toc312678029"/>
      <w:bookmarkStart w:id="924" w:name="_Toc312677503"/>
      <w:r>
        <w:rPr>
          <w:rFonts w:hint="eastAsia" w:ascii="宋体" w:hAnsi="宋体" w:eastAsia="宋体" w:cs="宋体"/>
          <w:color w:val="000000"/>
          <w:sz w:val="24"/>
          <w:szCs w:val="24"/>
        </w:rPr>
        <w:t>0.5承</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Start w:id="925" w:name="_Toc296891031"/>
      <w:bookmarkStart w:id="926" w:name="_Toc292559408"/>
      <w:bookmarkStart w:id="927" w:name="_Toc297120503"/>
      <w:bookmarkStart w:id="928" w:name="_Toc296347202"/>
      <w:bookmarkStart w:id="929" w:name="_Toc297216204"/>
      <w:bookmarkStart w:id="930" w:name="_Toc296503203"/>
      <w:bookmarkStart w:id="931" w:name="_Toc296944542"/>
      <w:bookmarkStart w:id="932" w:name="_Toc292559913"/>
      <w:bookmarkStart w:id="933" w:name="_Toc296346704"/>
      <w:bookmarkStart w:id="934" w:name="_Toc296891243"/>
      <w:bookmarkStart w:id="935" w:name="_Toc303539151"/>
      <w:bookmarkStart w:id="936" w:name="_Toc300934994"/>
      <w:bookmarkStart w:id="937" w:name="_Toc297048389"/>
      <w:bookmarkStart w:id="938" w:name="_Toc297123545"/>
      <w:r>
        <w:rPr>
          <w:rFonts w:hint="eastAsia" w:ascii="宋体" w:hAnsi="宋体" w:eastAsia="宋体" w:cs="宋体"/>
          <w:color w:val="000000"/>
          <w:sz w:val="24"/>
          <w:szCs w:val="24"/>
        </w:rPr>
        <w:t>包人的合理化建议</w:t>
      </w:r>
    </w:p>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承</w:t>
      </w:r>
      <w:bookmarkStart w:id="939" w:name="_Toc296944543"/>
      <w:bookmarkStart w:id="940" w:name="_Toc318581175"/>
      <w:bookmarkStart w:id="941" w:name="_Toc297123546"/>
      <w:bookmarkStart w:id="942" w:name="_Toc297216205"/>
      <w:bookmarkStart w:id="943" w:name="_Toc292559409"/>
      <w:bookmarkStart w:id="944" w:name="_Toc296347203"/>
      <w:bookmarkStart w:id="945" w:name="_Toc296346705"/>
      <w:bookmarkStart w:id="946" w:name="_Toc292559914"/>
      <w:bookmarkStart w:id="947" w:name="_Toc297048390"/>
      <w:bookmarkStart w:id="948" w:name="_Toc304295571"/>
      <w:bookmarkStart w:id="949" w:name="_Toc303539152"/>
      <w:bookmarkStart w:id="950" w:name="_Toc296503204"/>
      <w:bookmarkStart w:id="951" w:name="_Toc312678030"/>
      <w:bookmarkStart w:id="952" w:name="_Toc312677504"/>
      <w:bookmarkStart w:id="953" w:name="_Toc296891244"/>
      <w:bookmarkStart w:id="954" w:name="_Toc300934995"/>
      <w:bookmarkStart w:id="955" w:name="_Toc296891032"/>
      <w:bookmarkStart w:id="956" w:name="_Toc297120504"/>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957" w:name="_Toc17060"/>
      <w:bookmarkStart w:id="958" w:name="_Toc1550"/>
      <w:bookmarkStart w:id="959" w:name="_Toc32723"/>
      <w:bookmarkStart w:id="960" w:name="_Toc27241"/>
      <w:bookmarkStart w:id="961" w:name="_Toc16532"/>
      <w:bookmarkStart w:id="962" w:name="_Toc789"/>
      <w:bookmarkStart w:id="963" w:name="_Toc16780"/>
      <w:bookmarkStart w:id="964" w:name="_Toc17227"/>
      <w:bookmarkStart w:id="965" w:name="_Toc32126"/>
      <w:bookmarkStart w:id="966" w:name="_Toc29053"/>
      <w:r>
        <w:rPr>
          <w:rFonts w:hint="eastAsia" w:ascii="宋体" w:hAnsi="宋体" w:eastAsia="宋体" w:cs="宋体"/>
          <w:color w:val="000000"/>
          <w:sz w:val="24"/>
          <w:szCs w:val="24"/>
        </w:rPr>
        <w:t>1</w:t>
      </w:r>
      <w:bookmarkStart w:id="967" w:name="_Toc296346700"/>
      <w:bookmarkStart w:id="968" w:name="_Toc296347198"/>
      <w:bookmarkStart w:id="969" w:name="_Toc292559909"/>
      <w:bookmarkStart w:id="970" w:name="_Toc304295574"/>
      <w:bookmarkStart w:id="971" w:name="_Toc297123548"/>
      <w:bookmarkStart w:id="972" w:name="_Toc296891027"/>
      <w:bookmarkStart w:id="973" w:name="_Toc296503199"/>
      <w:bookmarkStart w:id="974" w:name="_Toc297048385"/>
      <w:bookmarkStart w:id="975" w:name="_Toc300934997"/>
      <w:bookmarkStart w:id="976" w:name="_Toc297216207"/>
      <w:bookmarkStart w:id="977" w:name="_Toc292559404"/>
      <w:bookmarkStart w:id="978" w:name="_Toc312677507"/>
      <w:bookmarkStart w:id="979" w:name="_Toc297120499"/>
      <w:bookmarkStart w:id="980" w:name="_Toc296891239"/>
      <w:bookmarkStart w:id="981" w:name="_Toc296944538"/>
      <w:bookmarkStart w:id="982" w:name="_Toc303539154"/>
      <w:bookmarkStart w:id="983" w:name="_Toc312678033"/>
      <w:r>
        <w:rPr>
          <w:rFonts w:hint="eastAsia" w:ascii="宋体" w:hAnsi="宋体" w:eastAsia="宋体" w:cs="宋体"/>
          <w:color w:val="000000"/>
          <w:sz w:val="24"/>
          <w:szCs w:val="24"/>
        </w:rPr>
        <w:t>0.7 暂估价</w:t>
      </w:r>
      <w:bookmarkEnd w:id="957"/>
      <w:bookmarkEnd w:id="958"/>
      <w:bookmarkEnd w:id="959"/>
      <w:bookmarkEnd w:id="960"/>
      <w:bookmarkEnd w:id="961"/>
      <w:bookmarkEnd w:id="962"/>
      <w:bookmarkEnd w:id="963"/>
      <w:bookmarkEnd w:id="964"/>
      <w:bookmarkEnd w:id="965"/>
      <w:bookmarkEnd w:id="966"/>
    </w:p>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暂</w:t>
      </w:r>
      <w:bookmarkStart w:id="984" w:name="_Toc318581176"/>
      <w:bookmarkStart w:id="985" w:name="_Toc312678034"/>
      <w:bookmarkStart w:id="986" w:name="_Toc312677508"/>
      <w:r>
        <w:rPr>
          <w:rFonts w:hint="eastAsia" w:ascii="宋体" w:hAnsi="宋体" w:eastAsia="宋体" w:cs="宋体"/>
          <w:kern w:val="0"/>
          <w:sz w:val="24"/>
          <w:szCs w:val="24"/>
        </w:rPr>
        <w:t>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bookmarkEnd w:id="984"/>
    <w:bookmarkEnd w:id="985"/>
    <w:bookmarkEnd w:id="986"/>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bookmarkStart w:id="987" w:name="_Toc312678035"/>
      <w:bookmarkStart w:id="988" w:name="_Toc312677509"/>
      <w:bookmarkStart w:id="989" w:name="_Toc318581177"/>
      <w:r>
        <w:rPr>
          <w:rFonts w:hint="eastAsia" w:ascii="宋体" w:hAnsi="宋体" w:eastAsia="宋体" w:cs="宋体"/>
          <w:sz w:val="24"/>
          <w:szCs w:val="24"/>
        </w:rPr>
        <w:t>0.7.1 依法必须招标的暂估价项目</w:t>
      </w:r>
    </w:p>
    <w:bookmarkEnd w:id="987"/>
    <w:bookmarkEnd w:id="988"/>
    <w:bookmarkEnd w:id="989"/>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种方式确定。</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第3种方式：</w:t>
      </w:r>
      <w:r>
        <w:rPr>
          <w:rFonts w:hint="eastAsia" w:ascii="宋体" w:hAnsi="宋体" w:eastAsia="宋体" w:cs="宋体"/>
          <w:color w:val="000000"/>
          <w:kern w:val="0"/>
          <w:sz w:val="24"/>
          <w:szCs w:val="24"/>
        </w:rPr>
        <w:t>承包人直接实施的暂估价项目</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rPr>
        <w:t>合同当事人关于暂列金额使用的约定：</w:t>
      </w:r>
      <w:r>
        <w:rPr>
          <w:rFonts w:hint="eastAsia" w:ascii="宋体" w:hAnsi="宋体" w:eastAsia="宋体" w:cs="宋体"/>
          <w:sz w:val="24"/>
          <w:szCs w:val="24"/>
          <w:u w:val="single"/>
        </w:rPr>
        <w:t xml:space="preserve">                     </w:t>
      </w:r>
    </w:p>
    <w:p>
      <w:pPr>
        <w:pageBreakBefore w:val="0"/>
        <w:widowControl w:val="0"/>
        <w:kinsoku/>
        <w:wordWrap/>
        <w:overflowPunct/>
        <w:topLinePunct w:val="0"/>
        <w:autoSpaceDE w:val="0"/>
        <w:autoSpaceDN w:val="0"/>
        <w:bidi w:val="0"/>
        <w:adjustRightInd w:val="0"/>
        <w:snapToGrid/>
        <w:spacing w:line="44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u w:val="single"/>
        </w:rPr>
        <w:t xml:space="preserve">                                                         </w:t>
      </w:r>
      <w:r>
        <w:rPr>
          <w:rFonts w:hint="eastAsia" w:ascii="宋体" w:hAnsi="宋体" w:eastAsia="宋体" w:cs="宋体"/>
          <w:color w:val="000000"/>
          <w:kern w:val="0"/>
          <w:sz w:val="24"/>
          <w:szCs w:val="24"/>
        </w:rPr>
        <w:t>。</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990" w:name="_Toc351203643"/>
      <w:r>
        <w:rPr>
          <w:rFonts w:hint="eastAsia" w:ascii="宋体" w:hAnsi="宋体" w:eastAsia="宋体" w:cs="宋体"/>
          <w:b w:val="0"/>
          <w:color w:val="000000"/>
          <w:sz w:val="24"/>
          <w:szCs w:val="24"/>
        </w:rPr>
        <w:t>11. 价格调整</w:t>
      </w:r>
      <w:bookmarkEnd w:id="990"/>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bookmarkStart w:id="991" w:name="_Toc296347200"/>
      <w:bookmarkStart w:id="992" w:name="_Toc312678039"/>
      <w:bookmarkStart w:id="993" w:name="_Toc297120501"/>
      <w:bookmarkStart w:id="994" w:name="_Toc297216209"/>
      <w:bookmarkStart w:id="995" w:name="_Toc292559406"/>
      <w:bookmarkStart w:id="996" w:name="_Toc296891241"/>
      <w:bookmarkStart w:id="997" w:name="_Toc296891029"/>
      <w:bookmarkStart w:id="998" w:name="_Toc303539157"/>
      <w:bookmarkStart w:id="999" w:name="_Toc292559911"/>
      <w:bookmarkStart w:id="1000" w:name="_Toc300935000"/>
      <w:bookmarkStart w:id="1001" w:name="_Toc304295577"/>
      <w:bookmarkStart w:id="1002" w:name="_Toc296346702"/>
      <w:bookmarkStart w:id="1003" w:name="_Toc296944540"/>
      <w:bookmarkStart w:id="1004" w:name="_Toc296503201"/>
      <w:bookmarkStart w:id="1005" w:name="_Toc297123550"/>
      <w:bookmarkStart w:id="1006" w:name="_Toc297048387"/>
      <w:r>
        <w:rPr>
          <w:rFonts w:hint="eastAsia" w:ascii="宋体" w:hAnsi="宋体" w:eastAsia="宋体" w:cs="宋体"/>
          <w:color w:val="000000"/>
          <w:sz w:val="24"/>
          <w:szCs w:val="24"/>
        </w:rPr>
        <w:t>11.1 市场价格波动引起的调整</w:t>
      </w:r>
    </w:p>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因市场价格波动调整合同价格，采用以下</w:t>
      </w: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种方式对合同价格进行调整：</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（2）关于基准价格的约定：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pPr>
        <w:pageBreakBefore w:val="0"/>
        <w:widowControl w:val="0"/>
        <w:kinsoku/>
        <w:wordWrap/>
        <w:overflowPunct/>
        <w:topLinePunct w:val="0"/>
        <w:bidi w:val="0"/>
        <w:snapToGrid/>
        <w:spacing w:line="440" w:lineRule="exact"/>
        <w:ind w:right="0" w:rightChars="0" w:firstLine="64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pPr>
        <w:pageBreakBefore w:val="0"/>
        <w:widowControl w:val="0"/>
        <w:kinsoku/>
        <w:wordWrap/>
        <w:overflowPunct/>
        <w:topLinePunct w:val="0"/>
        <w:bidi w:val="0"/>
        <w:snapToGrid/>
        <w:spacing w:line="440" w:lineRule="exact"/>
        <w:ind w:right="0" w:rightChars="0" w:firstLine="645"/>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874"/>
    <w:bookmarkEnd w:id="875"/>
    <w:bookmarkEnd w:id="876"/>
    <w:bookmarkEnd w:id="877"/>
    <w:bookmarkEnd w:id="878"/>
    <w:bookmarkEnd w:id="879"/>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1007" w:name="_Toc296944544"/>
      <w:bookmarkStart w:id="1008" w:name="_Toc297048391"/>
      <w:bookmarkStart w:id="1009" w:name="_Toc292559410"/>
      <w:bookmarkStart w:id="1010" w:name="_Toc296503205"/>
      <w:bookmarkStart w:id="1011" w:name="_Toc296891245"/>
      <w:bookmarkStart w:id="1012" w:name="_Toc292559915"/>
      <w:bookmarkStart w:id="1013" w:name="_Toc296346706"/>
      <w:bookmarkStart w:id="1014" w:name="_Toc297120505"/>
      <w:bookmarkStart w:id="1015" w:name="_Toc296891033"/>
      <w:bookmarkStart w:id="1016" w:name="_Toc296347204"/>
      <w:bookmarkStart w:id="1017" w:name="_Toc351203644"/>
      <w:bookmarkStart w:id="1018" w:name="_Toc300935002"/>
      <w:bookmarkStart w:id="1019" w:name="_Toc297123552"/>
      <w:bookmarkStart w:id="1020" w:name="_Toc303539159"/>
      <w:bookmarkStart w:id="1021" w:name="_Toc304295579"/>
      <w:bookmarkStart w:id="1022" w:name="_Toc312678040"/>
      <w:bookmarkStart w:id="1023" w:name="_Toc297216211"/>
      <w:r>
        <w:rPr>
          <w:rFonts w:hint="eastAsia" w:ascii="宋体" w:hAnsi="宋体" w:eastAsia="宋体" w:cs="宋体"/>
          <w:b w:val="0"/>
          <w:color w:val="000000"/>
          <w:sz w:val="24"/>
          <w:szCs w:val="24"/>
        </w:rPr>
        <w:t xml:space="preserve">12. </w:t>
      </w:r>
      <w:bookmarkEnd w:id="1007"/>
      <w:bookmarkEnd w:id="1008"/>
      <w:bookmarkEnd w:id="1009"/>
      <w:bookmarkEnd w:id="1010"/>
      <w:bookmarkEnd w:id="1011"/>
      <w:bookmarkEnd w:id="1012"/>
      <w:bookmarkEnd w:id="1013"/>
      <w:bookmarkEnd w:id="1014"/>
      <w:bookmarkEnd w:id="1015"/>
      <w:bookmarkEnd w:id="1016"/>
      <w:r>
        <w:rPr>
          <w:rFonts w:hint="eastAsia" w:ascii="宋体" w:hAnsi="宋体" w:eastAsia="宋体" w:cs="宋体"/>
          <w:b w:val="0"/>
          <w:color w:val="000000"/>
          <w:sz w:val="24"/>
          <w:szCs w:val="24"/>
        </w:rPr>
        <w:t>合同价格、计量与支付</w:t>
      </w:r>
      <w:bookmarkEnd w:id="1017"/>
    </w:p>
    <w:bookmarkEnd w:id="1018"/>
    <w:bookmarkEnd w:id="1019"/>
    <w:bookmarkEnd w:id="1020"/>
    <w:bookmarkEnd w:id="1021"/>
    <w:bookmarkEnd w:id="1022"/>
    <w:bookmarkEnd w:id="1023"/>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bookmarkStart w:id="1024" w:name="_Toc267251461"/>
      <w:bookmarkStart w:id="1025" w:name="_Toc292559916"/>
      <w:bookmarkStart w:id="1026" w:name="_Toc292559411"/>
      <w:bookmarkStart w:id="1027" w:name="_Toc296503206"/>
      <w:bookmarkStart w:id="1028" w:name="_Toc296891034"/>
      <w:bookmarkStart w:id="1029" w:name="_Toc296944545"/>
      <w:bookmarkStart w:id="1030" w:name="_Toc296346707"/>
      <w:bookmarkStart w:id="1031" w:name="_Toc296347205"/>
      <w:bookmarkStart w:id="1032" w:name="_Toc297048392"/>
      <w:bookmarkStart w:id="1033" w:name="_Toc296891246"/>
      <w:bookmarkStart w:id="1034" w:name="_Toc297120506"/>
      <w:bookmarkStart w:id="1035" w:name="_Toc300935003"/>
      <w:bookmarkStart w:id="1036" w:name="_Toc297216212"/>
      <w:bookmarkStart w:id="1037" w:name="_Toc304295580"/>
      <w:bookmarkStart w:id="1038" w:name="_Toc297123553"/>
      <w:bookmarkStart w:id="1039" w:name="_Toc303539160"/>
      <w:bookmarkStart w:id="1040" w:name="_Toc312678041"/>
      <w:r>
        <w:rPr>
          <w:rFonts w:hint="eastAsia" w:ascii="宋体" w:hAnsi="宋体" w:eastAsia="宋体" w:cs="宋体"/>
          <w:color w:val="000000"/>
          <w:sz w:val="24"/>
          <w:szCs w:val="24"/>
        </w:rPr>
        <w:t>12.1 合</w:t>
      </w:r>
      <w:bookmarkEnd w:id="1024"/>
      <w:bookmarkEnd w:id="1025"/>
      <w:bookmarkEnd w:id="1026"/>
      <w:r>
        <w:rPr>
          <w:rFonts w:hint="eastAsia" w:ascii="宋体" w:hAnsi="宋体" w:eastAsia="宋体" w:cs="宋体"/>
          <w:color w:val="000000"/>
          <w:sz w:val="24"/>
          <w:szCs w:val="24"/>
        </w:rPr>
        <w:t>同价</w:t>
      </w:r>
      <w:bookmarkEnd w:id="1027"/>
      <w:bookmarkEnd w:id="1028"/>
      <w:bookmarkEnd w:id="1029"/>
      <w:bookmarkEnd w:id="1030"/>
      <w:bookmarkEnd w:id="1031"/>
      <w:bookmarkEnd w:id="1032"/>
      <w:bookmarkEnd w:id="1033"/>
      <w:bookmarkEnd w:id="1034"/>
      <w:r>
        <w:rPr>
          <w:rFonts w:hint="eastAsia" w:ascii="宋体" w:hAnsi="宋体" w:eastAsia="宋体" w:cs="宋体"/>
          <w:color w:val="000000"/>
          <w:sz w:val="24"/>
          <w:szCs w:val="24"/>
        </w:rPr>
        <w:t>格形式</w:t>
      </w:r>
    </w:p>
    <w:bookmarkEnd w:id="1035"/>
    <w:bookmarkEnd w:id="1036"/>
    <w:bookmarkEnd w:id="1037"/>
    <w:bookmarkEnd w:id="1038"/>
    <w:bookmarkEnd w:id="1039"/>
    <w:bookmarkEnd w:id="1040"/>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bookmarkStart w:id="1041" w:name="_Toc312678042"/>
      <w:bookmarkStart w:id="1042" w:name="_Toc304295581"/>
      <w:bookmarkStart w:id="1043" w:name="_Toc303539161"/>
      <w:bookmarkStart w:id="1044" w:name="_Toc297216213"/>
      <w:bookmarkStart w:id="1045" w:name="_Toc300935004"/>
      <w:bookmarkStart w:id="1046" w:name="_Toc297123554"/>
      <w:bookmarkStart w:id="1047" w:name="_Toc297120507"/>
      <w:bookmarkStart w:id="1048" w:name="_Toc296347206"/>
      <w:bookmarkStart w:id="1049" w:name="_Toc296891247"/>
      <w:bookmarkStart w:id="1050" w:name="_Toc297048393"/>
      <w:bookmarkStart w:id="1051" w:name="_Toc296944546"/>
      <w:bookmarkStart w:id="1052" w:name="_Toc296891035"/>
      <w:bookmarkStart w:id="1053" w:name="_Toc296503207"/>
      <w:bookmarkStart w:id="1054" w:name="_Toc292559917"/>
      <w:bookmarkStart w:id="1055" w:name="_Toc296346708"/>
      <w:bookmarkStart w:id="1056" w:name="_Toc292559412"/>
      <w:r>
        <w:rPr>
          <w:rFonts w:hint="eastAsia" w:ascii="宋体" w:hAnsi="宋体" w:eastAsia="宋体" w:cs="宋体"/>
          <w:color w:val="000000"/>
          <w:sz w:val="24"/>
          <w:szCs w:val="24"/>
        </w:rPr>
        <w:t>12.2 预付款</w:t>
      </w:r>
    </w:p>
    <w:bookmarkEnd w:id="1041"/>
    <w:bookmarkEnd w:id="1042"/>
    <w:bookmarkEnd w:id="1043"/>
    <w:bookmarkEnd w:id="1044"/>
    <w:bookmarkEnd w:id="1045"/>
    <w:bookmarkEnd w:id="1046"/>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预付款扣回的方式：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047"/>
    <w:bookmarkEnd w:id="1048"/>
    <w:bookmarkEnd w:id="1049"/>
    <w:bookmarkEnd w:id="1050"/>
    <w:bookmarkEnd w:id="1051"/>
    <w:bookmarkEnd w:id="1052"/>
    <w:bookmarkEnd w:id="1053"/>
    <w:bookmarkEnd w:id="1054"/>
    <w:bookmarkEnd w:id="1055"/>
    <w:bookmarkEnd w:id="1056"/>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bookmarkStart w:id="1057" w:name="_Toc296347210"/>
      <w:bookmarkStart w:id="1058" w:name="_Toc297216215"/>
      <w:bookmarkStart w:id="1059" w:name="_Toc296891039"/>
      <w:bookmarkStart w:id="1060" w:name="_Toc297048397"/>
      <w:bookmarkStart w:id="1061" w:name="_Toc296944550"/>
      <w:bookmarkStart w:id="1062" w:name="_Toc303539163"/>
      <w:bookmarkStart w:id="1063" w:name="_Toc297123556"/>
      <w:bookmarkStart w:id="1064" w:name="_Toc292559416"/>
      <w:bookmarkStart w:id="1065" w:name="_Toc296891251"/>
      <w:bookmarkStart w:id="1066" w:name="_Toc296346712"/>
      <w:bookmarkStart w:id="1067" w:name="_Toc297120511"/>
      <w:bookmarkStart w:id="1068" w:name="_Toc292559921"/>
      <w:bookmarkStart w:id="1069" w:name="_Toc300935006"/>
      <w:bookmarkStart w:id="1070" w:name="_Toc296503211"/>
      <w:r>
        <w:rPr>
          <w:rFonts w:hint="eastAsia" w:ascii="宋体" w:hAnsi="宋体" w:eastAsia="宋体" w:cs="宋体"/>
          <w:color w:val="000000"/>
          <w:sz w:val="24"/>
          <w:szCs w:val="24"/>
        </w:rPr>
        <w:t>12.4.1 付款周期</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关于付款周期的约定：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Pr>
          <w:rFonts w:hint="eastAsia" w:ascii="宋体" w:hAnsi="宋体" w:eastAsia="宋体" w:cs="宋体"/>
          <w:color w:val="000000"/>
          <w:sz w:val="24"/>
          <w:szCs w:val="24"/>
        </w:rPr>
        <w:t>2.4.3 进度付款申请单的提交</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（2）发包人支付进度款的期限：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600" w:firstLineChars="25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发包人逾期支付进度款的违约金的计算方式：</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600" w:firstLineChars="2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left="6000" w:right="0" w:rightChars="0" w:hanging="4800" w:hangingChars="20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880"/>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1071" w:name="_Toc351203645"/>
      <w:bookmarkStart w:id="1072" w:name="_Toc296347218"/>
      <w:bookmarkStart w:id="1073" w:name="_Toc297048405"/>
      <w:bookmarkStart w:id="1074" w:name="_Toc296891047"/>
      <w:bookmarkStart w:id="1075" w:name="_Toc296891259"/>
      <w:bookmarkStart w:id="1076" w:name="_Toc300935015"/>
      <w:bookmarkStart w:id="1077" w:name="_Toc296346720"/>
      <w:bookmarkStart w:id="1078" w:name="_Toc303539172"/>
      <w:bookmarkStart w:id="1079" w:name="_Toc296944558"/>
      <w:bookmarkStart w:id="1080" w:name="_Toc304295593"/>
      <w:bookmarkStart w:id="1081" w:name="_Toc297123564"/>
      <w:bookmarkStart w:id="1082" w:name="_Toc296503219"/>
      <w:bookmarkStart w:id="1083" w:name="_Toc292559424"/>
      <w:bookmarkStart w:id="1084" w:name="_Toc312678053"/>
      <w:bookmarkStart w:id="1085" w:name="_Toc292559929"/>
      <w:bookmarkStart w:id="1086" w:name="_Toc297216223"/>
      <w:bookmarkStart w:id="1087" w:name="_Toc297120519"/>
      <w:r>
        <w:rPr>
          <w:rFonts w:hint="eastAsia" w:ascii="宋体" w:hAnsi="宋体" w:eastAsia="宋体" w:cs="宋体"/>
          <w:b w:val="0"/>
          <w:color w:val="000000"/>
          <w:sz w:val="24"/>
          <w:szCs w:val="24"/>
        </w:rPr>
        <w:t>13. 验收和工程试车</w:t>
      </w:r>
      <w:bookmarkEnd w:id="1071"/>
    </w:p>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b/>
          <w:color w:val="000000"/>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bookmarkStart w:id="1088" w:name="_Toc296891263"/>
      <w:bookmarkStart w:id="1089" w:name="_Toc296944562"/>
      <w:bookmarkStart w:id="1090" w:name="_Toc297048409"/>
      <w:bookmarkStart w:id="1091" w:name="_Toc296346724"/>
      <w:bookmarkStart w:id="1092" w:name="_Toc296891051"/>
      <w:bookmarkStart w:id="1093" w:name="_Toc292559933"/>
      <w:bookmarkStart w:id="1094" w:name="_Toc304295596"/>
      <w:bookmarkStart w:id="1095" w:name="_Toc297216224"/>
      <w:bookmarkStart w:id="1096" w:name="_Toc296503223"/>
      <w:bookmarkStart w:id="1097" w:name="_Toc312678056"/>
      <w:bookmarkStart w:id="1098" w:name="_Toc292559428"/>
      <w:bookmarkStart w:id="1099" w:name="_Toc297123565"/>
      <w:bookmarkStart w:id="1100" w:name="_Toc300935016"/>
      <w:bookmarkStart w:id="1101" w:name="_Toc297120523"/>
      <w:bookmarkStart w:id="1102" w:name="_Toc303539173"/>
      <w:bookmarkStart w:id="1103" w:name="_Toc296347222"/>
      <w:bookmarkStart w:id="1104" w:name="_Toc267251472"/>
      <w:bookmarkStart w:id="1105" w:name="_Toc267251475"/>
      <w:bookmarkStart w:id="1106" w:name="_Toc267251473"/>
      <w:bookmarkStart w:id="1107" w:name="_Toc267251474"/>
      <w:bookmarkStart w:id="1108" w:name="_Toc267251476"/>
      <w:bookmarkStart w:id="1109" w:name="_Toc267251470"/>
      <w:bookmarkStart w:id="1110" w:name="_Toc267251471"/>
      <w:r>
        <w:rPr>
          <w:rFonts w:hint="eastAsia" w:ascii="宋体" w:hAnsi="宋体" w:eastAsia="宋体" w:cs="宋体"/>
          <w:color w:val="000000"/>
          <w:sz w:val="24"/>
          <w:szCs w:val="24"/>
        </w:rPr>
        <w:t>13.2 竣工验收</w:t>
      </w:r>
    </w:p>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bookmarkStart w:id="1111" w:name="_Toc280868704"/>
      <w:bookmarkStart w:id="1112" w:name="_Toc280868705"/>
      <w:bookmarkStart w:id="1113" w:name="_Toc280868706"/>
      <w:bookmarkStart w:id="1114" w:name="_Toc280868707"/>
      <w:bookmarkStart w:id="1115" w:name="_Toc280868708"/>
      <w:bookmarkStart w:id="1116" w:name="_Toc280868709"/>
      <w:r>
        <w:rPr>
          <w:rFonts w:hint="eastAsia" w:ascii="宋体" w:hAnsi="宋体" w:eastAsia="宋体" w:cs="宋体"/>
          <w:color w:val="000000"/>
          <w:sz w:val="24"/>
          <w:szCs w:val="24"/>
        </w:rPr>
        <w:t>13.2.2竣工验收程序</w:t>
      </w:r>
    </w:p>
    <w:bookmarkEnd w:id="1111"/>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left="6000" w:right="0" w:rightChars="0" w:hanging="4800" w:hangingChars="20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112"/>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1113"/>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114"/>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1115"/>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承担；</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承担。</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1117" w:name="_Toc18966"/>
      <w:bookmarkStart w:id="1118" w:name="_Toc12574"/>
      <w:bookmarkStart w:id="1119" w:name="_Toc8430"/>
      <w:bookmarkStart w:id="1120" w:name="_Toc32579"/>
      <w:bookmarkStart w:id="1121" w:name="_Toc23000"/>
      <w:bookmarkStart w:id="1122" w:name="_Toc12137"/>
      <w:bookmarkStart w:id="1123" w:name="_Toc12493"/>
      <w:bookmarkStart w:id="1124" w:name="_Toc31367"/>
      <w:bookmarkStart w:id="1125" w:name="_Toc12294"/>
      <w:bookmarkStart w:id="1126" w:name="_Toc16677"/>
      <w:r>
        <w:rPr>
          <w:rFonts w:hint="eastAsia" w:ascii="宋体" w:hAnsi="宋体" w:eastAsia="宋体" w:cs="宋体"/>
          <w:color w:val="000000"/>
          <w:sz w:val="24"/>
          <w:szCs w:val="24"/>
        </w:rPr>
        <w:t>13.6 竣工退场</w:t>
      </w:r>
      <w:bookmarkEnd w:id="1117"/>
      <w:bookmarkEnd w:id="1118"/>
      <w:bookmarkEnd w:id="1119"/>
      <w:bookmarkEnd w:id="1120"/>
      <w:bookmarkEnd w:id="1121"/>
      <w:bookmarkEnd w:id="1122"/>
      <w:bookmarkEnd w:id="1123"/>
      <w:bookmarkEnd w:id="1124"/>
      <w:bookmarkEnd w:id="1125"/>
      <w:bookmarkEnd w:id="1126"/>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1127" w:name="_Toc351203646"/>
      <w:r>
        <w:rPr>
          <w:rFonts w:hint="eastAsia" w:ascii="宋体" w:hAnsi="宋体" w:eastAsia="宋体" w:cs="宋体"/>
          <w:b w:val="0"/>
          <w:color w:val="000000"/>
          <w:sz w:val="24"/>
          <w:szCs w:val="24"/>
        </w:rPr>
        <w:t>14. 竣工结算</w:t>
      </w:r>
      <w:bookmarkEnd w:id="1127"/>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竣工结算申请单应包括的内容：</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1128" w:name="_Toc22621"/>
      <w:bookmarkStart w:id="1129" w:name="_Toc9861"/>
      <w:bookmarkStart w:id="1130" w:name="_Toc14016"/>
      <w:bookmarkStart w:id="1131" w:name="_Toc7912"/>
      <w:bookmarkStart w:id="1132" w:name="_Toc17058"/>
      <w:bookmarkStart w:id="1133" w:name="_Toc24948"/>
      <w:bookmarkStart w:id="1134" w:name="_Toc17674"/>
      <w:bookmarkStart w:id="1135" w:name="_Toc12036"/>
      <w:bookmarkStart w:id="1136" w:name="_Toc3014"/>
      <w:bookmarkStart w:id="1137" w:name="_Toc2"/>
      <w:r>
        <w:rPr>
          <w:rFonts w:hint="eastAsia" w:ascii="宋体" w:hAnsi="宋体" w:eastAsia="宋体" w:cs="宋体"/>
          <w:color w:val="000000"/>
          <w:sz w:val="24"/>
          <w:szCs w:val="24"/>
        </w:rPr>
        <w:t>14.2 竣工结算审核</w:t>
      </w:r>
      <w:bookmarkEnd w:id="1128"/>
      <w:bookmarkEnd w:id="1129"/>
      <w:bookmarkEnd w:id="1130"/>
      <w:bookmarkEnd w:id="1131"/>
      <w:bookmarkEnd w:id="1132"/>
      <w:bookmarkEnd w:id="1133"/>
      <w:bookmarkEnd w:id="1134"/>
      <w:bookmarkEnd w:id="1135"/>
      <w:bookmarkEnd w:id="1136"/>
      <w:bookmarkEnd w:id="1137"/>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关于竣工付款证书异议部分复核的方式和程序：</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14.4.2 最终结清证书和支付</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104"/>
    <w:bookmarkEnd w:id="1105"/>
    <w:bookmarkEnd w:id="1106"/>
    <w:bookmarkEnd w:id="1107"/>
    <w:bookmarkEnd w:id="1108"/>
    <w:bookmarkEnd w:id="1109"/>
    <w:bookmarkEnd w:id="1110"/>
    <w:bookmarkEnd w:id="1116"/>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1138" w:name="_Toc351203647"/>
      <w:bookmarkStart w:id="1139" w:name="_Toc267251483"/>
      <w:bookmarkStart w:id="1140" w:name="_Toc267251484"/>
      <w:bookmarkStart w:id="1141" w:name="_Toc267251482"/>
      <w:bookmarkStart w:id="1142" w:name="_Toc267251485"/>
      <w:bookmarkStart w:id="1143" w:name="_Toc267251486"/>
      <w:bookmarkStart w:id="1144" w:name="_Toc267251489"/>
      <w:bookmarkStart w:id="1145" w:name="_Toc267251490"/>
      <w:bookmarkStart w:id="1146" w:name="_Toc267251488"/>
      <w:bookmarkStart w:id="1147" w:name="_Toc267251503"/>
      <w:bookmarkStart w:id="1148" w:name="_Toc267251497"/>
      <w:bookmarkStart w:id="1149" w:name="_Toc267251495"/>
      <w:bookmarkStart w:id="1150" w:name="_Toc267251491"/>
      <w:bookmarkStart w:id="1151" w:name="_Toc267251499"/>
      <w:bookmarkStart w:id="1152" w:name="_Toc267251494"/>
      <w:bookmarkStart w:id="1153" w:name="_Toc267251492"/>
      <w:bookmarkStart w:id="1154" w:name="_Toc267251501"/>
      <w:bookmarkStart w:id="1155" w:name="_Toc267251493"/>
      <w:bookmarkStart w:id="1156" w:name="_Toc267251496"/>
      <w:bookmarkStart w:id="1157" w:name="_Toc267251498"/>
      <w:bookmarkStart w:id="1158" w:name="_Toc267251502"/>
      <w:bookmarkStart w:id="1159" w:name="_Toc267251506"/>
      <w:bookmarkStart w:id="1160" w:name="_Toc267251504"/>
      <w:bookmarkStart w:id="1161" w:name="_Toc267251507"/>
      <w:bookmarkStart w:id="1162" w:name="_Toc267251508"/>
      <w:bookmarkStart w:id="1163" w:name="_Toc267251515"/>
      <w:bookmarkStart w:id="1164" w:name="_Toc267251511"/>
      <w:bookmarkStart w:id="1165" w:name="_Toc267251514"/>
      <w:bookmarkStart w:id="1166" w:name="_Toc267251513"/>
      <w:bookmarkStart w:id="1167" w:name="_Toc267251510"/>
      <w:bookmarkStart w:id="1168" w:name="_Toc267251509"/>
      <w:r>
        <w:rPr>
          <w:rFonts w:hint="eastAsia" w:ascii="宋体" w:hAnsi="宋体" w:eastAsia="宋体" w:cs="宋体"/>
          <w:b w:val="0"/>
          <w:color w:val="000000"/>
          <w:sz w:val="24"/>
          <w:szCs w:val="24"/>
        </w:rPr>
        <w:t>15. 缺陷责任期与保修</w:t>
      </w:r>
      <w:bookmarkEnd w:id="1138"/>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bookmarkEnd w:id="1139"/>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1169" w:name="_Toc31309"/>
      <w:bookmarkStart w:id="1170" w:name="_Toc8560"/>
      <w:bookmarkStart w:id="1171" w:name="_Toc27093"/>
      <w:bookmarkStart w:id="1172" w:name="_Toc22910"/>
      <w:bookmarkStart w:id="1173" w:name="_Toc257"/>
      <w:bookmarkStart w:id="1174" w:name="_Toc17713"/>
      <w:bookmarkStart w:id="1175" w:name="_Toc26523"/>
      <w:bookmarkStart w:id="1176" w:name="_Toc16407"/>
      <w:bookmarkStart w:id="1177" w:name="_Toc20158"/>
      <w:bookmarkStart w:id="1178" w:name="_Toc3871"/>
      <w:r>
        <w:rPr>
          <w:rFonts w:hint="eastAsia" w:ascii="宋体" w:hAnsi="宋体" w:eastAsia="宋体" w:cs="宋体"/>
          <w:color w:val="000000"/>
          <w:sz w:val="24"/>
          <w:szCs w:val="24"/>
        </w:rPr>
        <w:t>15.3 质量保证金</w:t>
      </w:r>
      <w:bookmarkEnd w:id="1169"/>
      <w:bookmarkEnd w:id="1170"/>
      <w:bookmarkEnd w:id="1171"/>
      <w:bookmarkEnd w:id="1172"/>
      <w:bookmarkEnd w:id="1173"/>
      <w:bookmarkEnd w:id="1174"/>
      <w:bookmarkEnd w:id="1175"/>
      <w:bookmarkEnd w:id="1176"/>
      <w:bookmarkEnd w:id="1177"/>
      <w:bookmarkEnd w:id="1178"/>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40" w:lineRule="exact"/>
        <w:ind w:right="0" w:rightChars="0" w:firstLine="480" w:firstLineChars="200"/>
        <w:jc w:val="left"/>
        <w:textAlignment w:val="auto"/>
        <w:outlineLvl w:val="0"/>
        <w:rPr>
          <w:rFonts w:hint="eastAsia" w:ascii="宋体" w:hAnsi="宋体" w:eastAsia="宋体" w:cs="宋体"/>
          <w:color w:val="000000"/>
          <w:sz w:val="24"/>
          <w:szCs w:val="24"/>
        </w:rPr>
      </w:pPr>
      <w:bookmarkStart w:id="1179" w:name="_Toc24392"/>
      <w:bookmarkStart w:id="1180" w:name="_Toc5853"/>
      <w:bookmarkStart w:id="1181" w:name="_Toc15390"/>
      <w:bookmarkStart w:id="1182" w:name="_Toc15176"/>
      <w:bookmarkStart w:id="1183" w:name="_Toc11025"/>
      <w:bookmarkStart w:id="1184" w:name="_Toc30664"/>
      <w:bookmarkStart w:id="1185" w:name="_Toc14286"/>
      <w:bookmarkStart w:id="1186" w:name="_Toc14002"/>
      <w:bookmarkStart w:id="1187" w:name="_Toc11314"/>
      <w:bookmarkStart w:id="1188" w:name="_Toc16151"/>
      <w:r>
        <w:rPr>
          <w:rFonts w:hint="eastAsia" w:ascii="宋体" w:hAnsi="宋体" w:eastAsia="宋体" w:cs="宋体"/>
          <w:color w:val="000000"/>
          <w:sz w:val="24"/>
          <w:szCs w:val="24"/>
        </w:rPr>
        <w:t>15.3.1 承包人提供质量保证金的方式</w:t>
      </w:r>
      <w:bookmarkEnd w:id="1179"/>
      <w:bookmarkEnd w:id="1180"/>
      <w:bookmarkEnd w:id="1181"/>
      <w:bookmarkEnd w:id="1182"/>
      <w:bookmarkEnd w:id="1183"/>
      <w:bookmarkEnd w:id="1184"/>
      <w:bookmarkEnd w:id="1185"/>
      <w:bookmarkEnd w:id="1186"/>
      <w:bookmarkEnd w:id="1187"/>
      <w:bookmarkEnd w:id="1188"/>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（1）质量保证金保函，保证金额为：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outlineLvl w:val="0"/>
        <w:rPr>
          <w:rFonts w:hint="eastAsia" w:ascii="宋体" w:hAnsi="宋体" w:eastAsia="宋体" w:cs="宋体"/>
          <w:color w:val="000000"/>
          <w:sz w:val="24"/>
          <w:szCs w:val="24"/>
        </w:rPr>
      </w:pPr>
      <w:bookmarkStart w:id="1189" w:name="_Toc9939"/>
      <w:bookmarkStart w:id="1190" w:name="_Toc14872"/>
      <w:bookmarkStart w:id="1191" w:name="_Toc16345"/>
      <w:bookmarkStart w:id="1192" w:name="_Toc24844"/>
      <w:bookmarkStart w:id="1193" w:name="_Toc13242"/>
      <w:bookmarkStart w:id="1194" w:name="_Toc26218"/>
      <w:bookmarkStart w:id="1195" w:name="_Toc9604"/>
      <w:bookmarkStart w:id="1196" w:name="_Toc12280"/>
      <w:bookmarkStart w:id="1197" w:name="_Toc849"/>
      <w:bookmarkStart w:id="1198" w:name="_Toc5616"/>
      <w:r>
        <w:rPr>
          <w:rFonts w:hint="eastAsia" w:ascii="宋体" w:hAnsi="宋体" w:eastAsia="宋体" w:cs="宋体"/>
          <w:color w:val="000000"/>
          <w:sz w:val="24"/>
          <w:szCs w:val="24"/>
        </w:rPr>
        <w:t>15.3.2 质量保证金的扣留</w:t>
      </w:r>
      <w:bookmarkEnd w:id="1189"/>
      <w:bookmarkEnd w:id="1190"/>
      <w:bookmarkEnd w:id="1191"/>
      <w:bookmarkEnd w:id="1192"/>
      <w:bookmarkEnd w:id="1193"/>
      <w:bookmarkEnd w:id="1194"/>
      <w:bookmarkEnd w:id="1195"/>
      <w:bookmarkEnd w:id="1196"/>
      <w:bookmarkEnd w:id="1197"/>
      <w:bookmarkEnd w:id="1198"/>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outlineLvl w:val="0"/>
        <w:rPr>
          <w:rFonts w:hint="eastAsia" w:ascii="宋体" w:hAnsi="宋体" w:eastAsia="宋体" w:cs="宋体"/>
          <w:color w:val="000000"/>
          <w:kern w:val="0"/>
          <w:sz w:val="24"/>
          <w:szCs w:val="24"/>
        </w:rPr>
      </w:pPr>
      <w:bookmarkStart w:id="1199" w:name="_Toc20782"/>
      <w:bookmarkStart w:id="1200" w:name="_Toc28551"/>
      <w:bookmarkStart w:id="1201" w:name="_Toc30610"/>
      <w:bookmarkStart w:id="1202" w:name="_Toc18423"/>
      <w:bookmarkStart w:id="1203" w:name="_Toc25649"/>
      <w:bookmarkStart w:id="1204" w:name="_Toc10878"/>
      <w:bookmarkStart w:id="1205" w:name="_Toc21208"/>
      <w:bookmarkStart w:id="1206" w:name="_Toc14320"/>
      <w:bookmarkStart w:id="1207" w:name="_Toc11523"/>
      <w:bookmarkStart w:id="1208" w:name="_Toc8469"/>
      <w:r>
        <w:rPr>
          <w:rFonts w:hint="eastAsia" w:ascii="宋体" w:hAnsi="宋体" w:eastAsia="宋体" w:cs="宋体"/>
          <w:color w:val="000000"/>
          <w:kern w:val="0"/>
          <w:sz w:val="24"/>
          <w:szCs w:val="24"/>
        </w:rPr>
        <w:t>（2）工程竣工结算时一次性扣留质量保证金；</w:t>
      </w:r>
      <w:bookmarkEnd w:id="1199"/>
      <w:bookmarkEnd w:id="1200"/>
      <w:bookmarkEnd w:id="1201"/>
      <w:bookmarkEnd w:id="1202"/>
      <w:bookmarkEnd w:id="1203"/>
      <w:bookmarkEnd w:id="1204"/>
      <w:bookmarkEnd w:id="1205"/>
      <w:bookmarkEnd w:id="1206"/>
      <w:bookmarkEnd w:id="1207"/>
      <w:bookmarkEnd w:id="1208"/>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1140"/>
    <w:bookmarkEnd w:id="1141"/>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1142"/>
    <w:p>
      <w:pPr>
        <w:pageBreakBefore w:val="0"/>
        <w:widowControl w:val="0"/>
        <w:kinsoku/>
        <w:wordWrap/>
        <w:overflowPunct/>
        <w:topLinePunct w:val="0"/>
        <w:bidi w:val="0"/>
        <w:snapToGrid/>
        <w:spacing w:line="440" w:lineRule="exact"/>
        <w:ind w:right="0" w:rightChars="0" w:firstLine="468" w:firstLineChars="19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pPr>
        <w:pageBreakBefore w:val="0"/>
        <w:widowControl w:val="0"/>
        <w:kinsoku/>
        <w:wordWrap/>
        <w:overflowPunct/>
        <w:topLinePunct w:val="0"/>
        <w:bidi w:val="0"/>
        <w:snapToGrid/>
        <w:spacing w:line="440" w:lineRule="exact"/>
        <w:ind w:right="0" w:rightChars="0" w:firstLine="468" w:firstLineChars="195"/>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工程保修期为：</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68" w:firstLineChars="19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pPr>
        <w:pageBreakBefore w:val="0"/>
        <w:widowControl w:val="0"/>
        <w:kinsoku/>
        <w:wordWrap/>
        <w:overflowPunct/>
        <w:topLinePunct w:val="0"/>
        <w:bidi w:val="0"/>
        <w:snapToGrid/>
        <w:spacing w:line="440" w:lineRule="exact"/>
        <w:ind w:right="0" w:rightChars="0" w:firstLine="468" w:firstLineChars="195"/>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1143"/>
    <w:bookmarkEnd w:id="1144"/>
    <w:bookmarkEnd w:id="1145"/>
    <w:bookmarkEnd w:id="1146"/>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1209" w:name="_Toc351203648"/>
      <w:bookmarkStart w:id="1210" w:name="_Toc280868717"/>
      <w:bookmarkStart w:id="1211" w:name="_Toc280868718"/>
      <w:r>
        <w:rPr>
          <w:rFonts w:hint="eastAsia" w:ascii="宋体" w:hAnsi="宋体" w:eastAsia="宋体" w:cs="宋体"/>
          <w:b w:val="0"/>
          <w:color w:val="000000"/>
          <w:sz w:val="24"/>
          <w:szCs w:val="24"/>
        </w:rPr>
        <w:t>16. 违约</w:t>
      </w:r>
      <w:bookmarkEnd w:id="1209"/>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1212" w:name="_Toc4551"/>
      <w:bookmarkStart w:id="1213" w:name="_Toc15498"/>
      <w:bookmarkStart w:id="1214" w:name="_Toc3342"/>
      <w:bookmarkStart w:id="1215" w:name="_Toc32734"/>
      <w:bookmarkStart w:id="1216" w:name="_Toc14896"/>
      <w:bookmarkStart w:id="1217" w:name="_Toc25339"/>
      <w:bookmarkStart w:id="1218" w:name="_Toc20481"/>
      <w:bookmarkStart w:id="1219" w:name="_Toc12120"/>
      <w:bookmarkStart w:id="1220" w:name="_Toc18650"/>
      <w:bookmarkStart w:id="1221" w:name="_Toc17608"/>
      <w:r>
        <w:rPr>
          <w:rFonts w:hint="eastAsia" w:ascii="宋体" w:hAnsi="宋体" w:eastAsia="宋体" w:cs="宋体"/>
          <w:color w:val="000000"/>
          <w:sz w:val="24"/>
          <w:szCs w:val="24"/>
        </w:rPr>
        <w:t>16.1 发包人违约</w:t>
      </w:r>
      <w:bookmarkEnd w:id="1212"/>
      <w:bookmarkEnd w:id="1213"/>
      <w:bookmarkEnd w:id="1214"/>
      <w:bookmarkEnd w:id="1215"/>
      <w:bookmarkEnd w:id="1216"/>
      <w:bookmarkEnd w:id="1217"/>
      <w:bookmarkEnd w:id="1218"/>
      <w:bookmarkEnd w:id="1219"/>
      <w:bookmarkEnd w:id="1220"/>
      <w:bookmarkEnd w:id="1221"/>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40" w:lineRule="exact"/>
        <w:ind w:left="1500" w:right="0" w:rightChars="0" w:hanging="1200" w:hangingChars="5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left="1500" w:right="0" w:rightChars="0" w:hanging="1200" w:hangingChars="5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天后发包人仍不纠正其违约行为并致使合同目的不能实现的，承包人有权解除合同。</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1222" w:name="_Toc1961"/>
      <w:bookmarkStart w:id="1223" w:name="_Toc8811"/>
      <w:bookmarkStart w:id="1224" w:name="_Toc11901"/>
      <w:bookmarkStart w:id="1225" w:name="_Toc22674"/>
      <w:bookmarkStart w:id="1226" w:name="_Toc13141"/>
      <w:bookmarkStart w:id="1227" w:name="_Toc27966"/>
      <w:bookmarkStart w:id="1228" w:name="_Toc13911"/>
      <w:bookmarkStart w:id="1229" w:name="_Toc23516"/>
      <w:bookmarkStart w:id="1230" w:name="_Toc28090"/>
      <w:r>
        <w:rPr>
          <w:rFonts w:hint="eastAsia" w:ascii="宋体" w:hAnsi="宋体" w:eastAsia="宋体" w:cs="宋体"/>
          <w:color w:val="000000"/>
          <w:sz w:val="24"/>
          <w:szCs w:val="24"/>
        </w:rPr>
        <w:t>16.2 承包人违约</w:t>
      </w:r>
      <w:bookmarkEnd w:id="1222"/>
      <w:bookmarkEnd w:id="1223"/>
      <w:bookmarkEnd w:id="1224"/>
      <w:bookmarkEnd w:id="1225"/>
      <w:bookmarkEnd w:id="1226"/>
      <w:bookmarkEnd w:id="1227"/>
      <w:bookmarkEnd w:id="1228"/>
      <w:bookmarkEnd w:id="1229"/>
      <w:bookmarkEnd w:id="1230"/>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承包人违约的其他情形：</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16.2.2承包人违约的责任</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承包人违约责任的承担方式和计算方法：</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40" w:lineRule="exact"/>
        <w:ind w:left="1500" w:right="0" w:rightChars="0" w:hanging="1200" w:hangingChars="5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pPr>
        <w:pageBreakBefore w:val="0"/>
        <w:widowControl w:val="0"/>
        <w:kinsoku/>
        <w:wordWrap/>
        <w:overflowPunct/>
        <w:topLinePunct w:val="0"/>
        <w:bidi w:val="0"/>
        <w:snapToGrid/>
        <w:spacing w:before="120" w:after="120" w:line="440" w:lineRule="exact"/>
        <w:ind w:right="0" w:rightChars="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before="120" w:after="120" w:line="440" w:lineRule="exact"/>
        <w:ind w:right="0" w:righ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1231" w:name="_Toc351203649"/>
      <w:r>
        <w:rPr>
          <w:rFonts w:hint="eastAsia" w:ascii="宋体" w:hAnsi="宋体" w:eastAsia="宋体" w:cs="宋体"/>
          <w:b w:val="0"/>
          <w:color w:val="000000"/>
          <w:sz w:val="24"/>
          <w:szCs w:val="24"/>
        </w:rPr>
        <w:t>17. 不可抗力</w:t>
      </w:r>
      <w:bookmarkEnd w:id="1231"/>
      <w:r>
        <w:rPr>
          <w:rFonts w:hint="eastAsia" w:ascii="宋体" w:hAnsi="宋体" w:eastAsia="宋体" w:cs="宋体"/>
          <w:b w:val="0"/>
          <w:color w:val="000000"/>
          <w:sz w:val="24"/>
          <w:szCs w:val="24"/>
        </w:rPr>
        <w:t xml:space="preserve"> </w:t>
      </w:r>
      <w:bookmarkEnd w:id="1210"/>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 xml:space="preserve">除通用合同条款约定的不可抗力事件之外，视为不可抗力的其他情形：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1232" w:name="_Toc2749"/>
      <w:bookmarkStart w:id="1233" w:name="_Toc304"/>
      <w:bookmarkStart w:id="1234" w:name="_Toc20454"/>
      <w:bookmarkStart w:id="1235" w:name="_Toc7193"/>
      <w:bookmarkStart w:id="1236" w:name="_Toc20983"/>
      <w:bookmarkStart w:id="1237" w:name="_Toc9367"/>
      <w:bookmarkStart w:id="1238" w:name="_Toc17179"/>
      <w:bookmarkStart w:id="1239" w:name="_Toc23297"/>
      <w:bookmarkStart w:id="1240" w:name="_Toc19531"/>
      <w:bookmarkStart w:id="1241" w:name="_Toc19573"/>
      <w:r>
        <w:rPr>
          <w:rFonts w:hint="eastAsia" w:ascii="宋体" w:hAnsi="宋体" w:eastAsia="宋体" w:cs="宋体"/>
          <w:color w:val="000000"/>
          <w:sz w:val="24"/>
          <w:szCs w:val="24"/>
        </w:rPr>
        <w:t>17.4 因不可抗力解除合同</w:t>
      </w:r>
      <w:bookmarkEnd w:id="1232"/>
      <w:bookmarkEnd w:id="1233"/>
      <w:bookmarkEnd w:id="1234"/>
      <w:bookmarkEnd w:id="1235"/>
      <w:bookmarkEnd w:id="1236"/>
      <w:bookmarkEnd w:id="1237"/>
      <w:bookmarkEnd w:id="1238"/>
      <w:bookmarkEnd w:id="1239"/>
      <w:bookmarkEnd w:id="1240"/>
      <w:bookmarkEnd w:id="1241"/>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天内完成款项的支付。</w:t>
      </w:r>
    </w:p>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1242" w:name="_Toc351203650"/>
      <w:r>
        <w:rPr>
          <w:rFonts w:hint="eastAsia" w:ascii="宋体" w:hAnsi="宋体" w:eastAsia="宋体" w:cs="宋体"/>
          <w:b w:val="0"/>
          <w:color w:val="000000"/>
          <w:sz w:val="24"/>
          <w:szCs w:val="24"/>
        </w:rPr>
        <w:t>18. 保险</w:t>
      </w:r>
      <w:bookmarkEnd w:id="1242"/>
    </w:p>
    <w:bookmarkEnd w:id="1211"/>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1243" w:name="_Toc16032"/>
      <w:bookmarkStart w:id="1244" w:name="_Toc31483"/>
      <w:bookmarkStart w:id="1245" w:name="_Toc16320"/>
      <w:bookmarkStart w:id="1246" w:name="_Toc4939"/>
      <w:bookmarkStart w:id="1247" w:name="_Toc17046"/>
      <w:bookmarkStart w:id="1248" w:name="_Toc17520"/>
      <w:bookmarkStart w:id="1249" w:name="_Toc27670"/>
      <w:bookmarkStart w:id="1250" w:name="_Toc2632"/>
      <w:bookmarkStart w:id="1251" w:name="_Toc8829"/>
      <w:r>
        <w:rPr>
          <w:rFonts w:hint="eastAsia" w:ascii="宋体" w:hAnsi="宋体" w:eastAsia="宋体" w:cs="宋体"/>
          <w:color w:val="000000"/>
          <w:sz w:val="24"/>
          <w:szCs w:val="24"/>
        </w:rPr>
        <w:t>18.3 其他保险</w:t>
      </w:r>
      <w:bookmarkEnd w:id="1243"/>
      <w:bookmarkEnd w:id="1244"/>
      <w:bookmarkEnd w:id="1245"/>
      <w:bookmarkEnd w:id="1246"/>
      <w:bookmarkEnd w:id="1247"/>
      <w:bookmarkEnd w:id="1248"/>
      <w:bookmarkEnd w:id="1249"/>
      <w:bookmarkEnd w:id="1250"/>
      <w:bookmarkEnd w:id="1251"/>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147"/>
    <w:bookmarkEnd w:id="1148"/>
    <w:bookmarkEnd w:id="1149"/>
    <w:bookmarkEnd w:id="1150"/>
    <w:bookmarkEnd w:id="1151"/>
    <w:bookmarkEnd w:id="1152"/>
    <w:bookmarkEnd w:id="1153"/>
    <w:bookmarkEnd w:id="1154"/>
    <w:bookmarkEnd w:id="1155"/>
    <w:bookmarkEnd w:id="1156"/>
    <w:bookmarkEnd w:id="1157"/>
    <w:bookmarkEnd w:id="1158"/>
    <w:p>
      <w:pPr>
        <w:pStyle w:val="7"/>
        <w:pageBreakBefore w:val="0"/>
        <w:widowControl w:val="0"/>
        <w:kinsoku/>
        <w:wordWrap/>
        <w:overflowPunct/>
        <w:topLinePunct w:val="0"/>
        <w:bidi w:val="0"/>
        <w:snapToGrid/>
        <w:spacing w:before="120" w:after="120" w:line="440" w:lineRule="exact"/>
        <w:ind w:right="0" w:rightChars="0"/>
        <w:textAlignment w:val="auto"/>
        <w:rPr>
          <w:rFonts w:hint="eastAsia" w:ascii="宋体" w:hAnsi="宋体" w:eastAsia="宋体" w:cs="宋体"/>
          <w:b w:val="0"/>
          <w:color w:val="000000"/>
          <w:sz w:val="24"/>
          <w:szCs w:val="24"/>
        </w:rPr>
      </w:pPr>
      <w:bookmarkStart w:id="1252" w:name="_Toc351203651"/>
      <w:r>
        <w:rPr>
          <w:rFonts w:hint="eastAsia" w:ascii="宋体" w:hAnsi="宋体" w:eastAsia="宋体" w:cs="宋体"/>
          <w:b w:val="0"/>
          <w:color w:val="000000"/>
          <w:sz w:val="24"/>
          <w:szCs w:val="24"/>
        </w:rPr>
        <w:t>20. 争议解决</w:t>
      </w:r>
      <w:bookmarkEnd w:id="1252"/>
    </w:p>
    <w:bookmarkEnd w:id="1159"/>
    <w:bookmarkEnd w:id="1160"/>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1253" w:name="_Toc18556"/>
      <w:bookmarkStart w:id="1254" w:name="_Toc27270"/>
      <w:bookmarkStart w:id="1255" w:name="_Toc27176"/>
      <w:bookmarkStart w:id="1256" w:name="_Toc27832"/>
      <w:bookmarkStart w:id="1257" w:name="_Toc19068"/>
      <w:bookmarkStart w:id="1258" w:name="_Toc5743"/>
      <w:bookmarkStart w:id="1259" w:name="_Toc16079"/>
      <w:bookmarkStart w:id="1260" w:name="_Toc17717"/>
      <w:bookmarkStart w:id="1261" w:name="_Toc2362"/>
      <w:bookmarkStart w:id="1262" w:name="_Toc3310"/>
      <w:r>
        <w:rPr>
          <w:rFonts w:hint="eastAsia" w:ascii="宋体" w:hAnsi="宋体" w:eastAsia="宋体" w:cs="宋体"/>
          <w:color w:val="000000"/>
          <w:sz w:val="24"/>
          <w:szCs w:val="24"/>
        </w:rPr>
        <w:t>20.3 争</w:t>
      </w:r>
      <w:bookmarkEnd w:id="1161"/>
      <w:r>
        <w:rPr>
          <w:rFonts w:hint="eastAsia" w:ascii="宋体" w:hAnsi="宋体" w:eastAsia="宋体" w:cs="宋体"/>
          <w:color w:val="000000"/>
          <w:sz w:val="24"/>
          <w:szCs w:val="24"/>
        </w:rPr>
        <w:t>议评审</w:t>
      </w:r>
      <w:bookmarkEnd w:id="1253"/>
      <w:bookmarkEnd w:id="1254"/>
      <w:bookmarkEnd w:id="1255"/>
      <w:bookmarkEnd w:id="1256"/>
      <w:bookmarkEnd w:id="1257"/>
      <w:bookmarkEnd w:id="1258"/>
      <w:bookmarkEnd w:id="1259"/>
      <w:bookmarkEnd w:id="1260"/>
      <w:bookmarkEnd w:id="1261"/>
      <w:bookmarkEnd w:id="1262"/>
    </w:p>
    <w:p>
      <w:pPr>
        <w:pageBreakBefore w:val="0"/>
        <w:widowControl w:val="0"/>
        <w:kinsoku/>
        <w:wordWrap/>
        <w:overflowPunct/>
        <w:topLinePunct w:val="0"/>
        <w:bidi w:val="0"/>
        <w:snapToGrid/>
        <w:spacing w:line="440" w:lineRule="exact"/>
        <w:ind w:left="149" w:leftChars="71" w:right="0" w:rightChars="0" w:firstLine="360" w:firstLineChars="15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w:t>
      </w:r>
    </w:p>
    <w:p>
      <w:pPr>
        <w:pageBreakBefore w:val="0"/>
        <w:widowControl w:val="0"/>
        <w:kinsoku/>
        <w:wordWrap/>
        <w:overflowPunct/>
        <w:topLinePunct w:val="0"/>
        <w:bidi w:val="0"/>
        <w:snapToGrid/>
        <w:spacing w:line="440" w:lineRule="exact"/>
        <w:ind w:right="0" w:right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widowControl w:val="0"/>
        <w:kinsoku/>
        <w:wordWrap/>
        <w:overflowPunct/>
        <w:topLinePunct w:val="0"/>
        <w:bidi w:val="0"/>
        <w:snapToGrid/>
        <w:spacing w:line="440" w:lineRule="exact"/>
        <w:ind w:right="0" w:rightChars="0" w:firstLine="480" w:firstLineChars="200"/>
        <w:jc w:val="left"/>
        <w:textAlignment w:val="auto"/>
        <w:outlineLvl w:val="0"/>
        <w:rPr>
          <w:rFonts w:hint="eastAsia" w:ascii="宋体" w:hAnsi="宋体" w:eastAsia="宋体" w:cs="宋体"/>
          <w:color w:val="000000"/>
          <w:sz w:val="24"/>
          <w:szCs w:val="24"/>
        </w:rPr>
      </w:pPr>
      <w:bookmarkStart w:id="1263" w:name="_Toc2940"/>
      <w:bookmarkStart w:id="1264" w:name="_Toc3507"/>
      <w:bookmarkStart w:id="1265" w:name="_Toc28100"/>
      <w:bookmarkStart w:id="1266" w:name="_Toc10993"/>
      <w:bookmarkStart w:id="1267" w:name="_Toc12696"/>
      <w:bookmarkStart w:id="1268" w:name="_Toc15064"/>
      <w:bookmarkStart w:id="1269" w:name="_Toc25799"/>
      <w:bookmarkStart w:id="1270" w:name="_Toc29262"/>
      <w:bookmarkStart w:id="1271" w:name="_Toc25691"/>
      <w:bookmarkStart w:id="1272" w:name="_Toc32362"/>
      <w:r>
        <w:rPr>
          <w:rFonts w:hint="eastAsia" w:ascii="宋体" w:hAnsi="宋体" w:eastAsia="宋体" w:cs="宋体"/>
          <w:color w:val="000000"/>
          <w:sz w:val="24"/>
          <w:szCs w:val="24"/>
        </w:rPr>
        <w:t>20.3.1 争议评审小组的确定</w:t>
      </w:r>
      <w:bookmarkEnd w:id="1263"/>
      <w:bookmarkEnd w:id="1264"/>
      <w:bookmarkEnd w:id="1265"/>
      <w:bookmarkEnd w:id="1266"/>
      <w:bookmarkEnd w:id="1267"/>
      <w:bookmarkEnd w:id="1268"/>
      <w:bookmarkEnd w:id="1269"/>
      <w:bookmarkEnd w:id="1270"/>
      <w:bookmarkEnd w:id="1271"/>
      <w:bookmarkEnd w:id="1272"/>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autoSpaceDE w:val="0"/>
        <w:autoSpaceDN w:val="0"/>
        <w:bidi w:val="0"/>
        <w:adjustRightInd w:val="0"/>
        <w:snapToGrid/>
        <w:spacing w:line="440" w:lineRule="exact"/>
        <w:ind w:right="0" w:rightChars="0" w:firstLine="480" w:firstLineChars="200"/>
        <w:jc w:val="left"/>
        <w:textAlignment w:val="auto"/>
        <w:outlineLvl w:val="0"/>
        <w:rPr>
          <w:rFonts w:hint="eastAsia" w:ascii="宋体" w:hAnsi="宋体" w:eastAsia="宋体" w:cs="宋体"/>
          <w:color w:val="000000"/>
          <w:kern w:val="0"/>
          <w:sz w:val="24"/>
          <w:szCs w:val="24"/>
        </w:rPr>
      </w:pPr>
      <w:bookmarkStart w:id="1273" w:name="_Toc27633"/>
      <w:bookmarkStart w:id="1274" w:name="_Toc10629"/>
      <w:bookmarkStart w:id="1275" w:name="_Toc5798"/>
      <w:bookmarkStart w:id="1276" w:name="_Toc9339"/>
      <w:bookmarkStart w:id="1277" w:name="_Toc26982"/>
      <w:bookmarkStart w:id="1278" w:name="_Toc26893"/>
      <w:bookmarkStart w:id="1279" w:name="_Toc30311"/>
      <w:bookmarkStart w:id="1280" w:name="_Toc27511"/>
      <w:bookmarkStart w:id="1281" w:name="_Toc23496"/>
      <w:bookmarkStart w:id="1282" w:name="_Toc29753"/>
      <w:r>
        <w:rPr>
          <w:rFonts w:hint="eastAsia" w:ascii="宋体" w:hAnsi="宋体" w:eastAsia="宋体" w:cs="宋体"/>
          <w:color w:val="000000"/>
          <w:kern w:val="0"/>
          <w:sz w:val="24"/>
          <w:szCs w:val="24"/>
        </w:rPr>
        <w:t>20.3.2 争议评审小组的决定</w:t>
      </w:r>
      <w:bookmarkEnd w:id="1273"/>
      <w:bookmarkEnd w:id="1274"/>
      <w:bookmarkEnd w:id="1275"/>
      <w:bookmarkEnd w:id="1276"/>
      <w:bookmarkEnd w:id="1277"/>
      <w:bookmarkEnd w:id="1278"/>
      <w:bookmarkEnd w:id="1279"/>
      <w:bookmarkEnd w:id="1280"/>
      <w:bookmarkEnd w:id="1281"/>
      <w:bookmarkEnd w:id="1282"/>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bidi w:val="0"/>
        <w:snapToGrid/>
        <w:spacing w:after="120" w:line="440" w:lineRule="exact"/>
        <w:ind w:right="0" w:rightChars="0" w:firstLine="480" w:firstLineChars="200"/>
        <w:textAlignment w:val="auto"/>
        <w:outlineLvl w:val="0"/>
        <w:rPr>
          <w:rFonts w:hint="eastAsia" w:ascii="宋体" w:hAnsi="宋体" w:eastAsia="宋体" w:cs="宋体"/>
          <w:color w:val="000000"/>
          <w:sz w:val="24"/>
          <w:szCs w:val="24"/>
        </w:rPr>
      </w:pPr>
      <w:bookmarkStart w:id="1283" w:name="_Toc9047"/>
      <w:bookmarkStart w:id="1284" w:name="_Toc18108"/>
      <w:bookmarkStart w:id="1285" w:name="_Toc176"/>
      <w:bookmarkStart w:id="1286" w:name="_Toc4471"/>
      <w:bookmarkStart w:id="1287" w:name="_Toc25500"/>
      <w:bookmarkStart w:id="1288" w:name="_Toc8393"/>
      <w:bookmarkStart w:id="1289" w:name="_Toc17976"/>
      <w:bookmarkStart w:id="1290" w:name="_Toc11484"/>
      <w:bookmarkStart w:id="1291" w:name="_Toc24033"/>
      <w:bookmarkStart w:id="1292" w:name="_Toc24056"/>
      <w:r>
        <w:rPr>
          <w:rFonts w:hint="eastAsia" w:ascii="宋体" w:hAnsi="宋体" w:eastAsia="宋体" w:cs="宋体"/>
          <w:color w:val="000000"/>
          <w:sz w:val="24"/>
          <w:szCs w:val="24"/>
        </w:rPr>
        <w:t>20.4仲裁或诉讼</w:t>
      </w:r>
      <w:bookmarkEnd w:id="1162"/>
      <w:bookmarkEnd w:id="1283"/>
      <w:bookmarkEnd w:id="1284"/>
      <w:bookmarkEnd w:id="1285"/>
      <w:bookmarkEnd w:id="1286"/>
      <w:bookmarkEnd w:id="1287"/>
      <w:bookmarkEnd w:id="1288"/>
      <w:bookmarkEnd w:id="1289"/>
      <w:bookmarkEnd w:id="1290"/>
      <w:bookmarkEnd w:id="1291"/>
      <w:bookmarkEnd w:id="1292"/>
    </w:p>
    <w:p>
      <w:pPr>
        <w:pageBreakBefore w:val="0"/>
        <w:widowControl w:val="0"/>
        <w:kinsoku/>
        <w:wordWrap/>
        <w:overflowPunct/>
        <w:topLinePunct w:val="0"/>
        <w:bidi w:val="0"/>
        <w:snapToGrid/>
        <w:spacing w:after="120" w:line="44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种方式解决：</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pPr>
        <w:pageBreakBefore w:val="0"/>
        <w:widowControl w:val="0"/>
        <w:kinsoku/>
        <w:wordWrap/>
        <w:overflowPunct/>
        <w:topLinePunct w:val="0"/>
        <w:bidi w:val="0"/>
        <w:snapToGrid/>
        <w:spacing w:line="440" w:lineRule="exact"/>
        <w:ind w:right="0" w:righ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bookmarkEnd w:id="1163"/>
      <w:bookmarkEnd w:id="1164"/>
      <w:bookmarkEnd w:id="1165"/>
      <w:bookmarkEnd w:id="1166"/>
      <w:bookmarkEnd w:id="1167"/>
      <w:bookmarkEnd w:id="1168"/>
    </w:p>
    <w:p>
      <w:pPr>
        <w:spacing w:line="360" w:lineRule="auto"/>
        <w:rPr>
          <w:rFonts w:hint="eastAsia" w:ascii="宋体" w:hAnsi="宋体" w:eastAsia="宋体" w:cs="宋体"/>
          <w:kern w:val="0"/>
          <w:sz w:val="24"/>
          <w:szCs w:val="24"/>
        </w:rPr>
      </w:pPr>
    </w:p>
    <w:p>
      <w:pPr>
        <w:pStyle w:val="4"/>
        <w:bidi w:val="0"/>
        <w:spacing w:beforeAutospacing="0" w:afterAutospacing="0" w:line="240" w:lineRule="auto"/>
        <w:jc w:val="center"/>
        <w:outlineLvl w:val="0"/>
        <w:rPr>
          <w:rFonts w:hint="eastAsia" w:ascii="宋体" w:hAnsi="宋体" w:eastAsia="宋体" w:cs="宋体"/>
          <w:lang w:eastAsia="zh-CN"/>
        </w:rPr>
        <w:sectPr>
          <w:headerReference r:id="rId7" w:type="default"/>
          <w:footerReference r:id="rId8" w:type="default"/>
          <w:pgSz w:w="11906" w:h="16838"/>
          <w:pgMar w:top="1418" w:right="1417" w:bottom="1417" w:left="1417" w:header="851" w:footer="851" w:gutter="0"/>
          <w:pgNumType w:fmt="decimal"/>
          <w:cols w:space="720" w:num="1"/>
          <w:docGrid w:linePitch="312" w:charSpace="0"/>
        </w:sectPr>
      </w:pPr>
      <w:bookmarkStart w:id="1293" w:name="_Toc31338"/>
      <w:bookmarkEnd w:id="1293"/>
      <w:bookmarkStart w:id="1294" w:name="_Toc30428"/>
      <w:bookmarkEnd w:id="1294"/>
      <w:bookmarkStart w:id="1295" w:name="_Toc22442"/>
      <w:bookmarkEnd w:id="1295"/>
      <w:bookmarkStart w:id="1296" w:name="_Toc516822655"/>
      <w:bookmarkEnd w:id="1296"/>
    </w:p>
    <w:p>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pPr>
        <w:rPr>
          <w:rFonts w:hint="default" w:ascii="Calibri" w:hAnsi="Calibri" w:eastAsia="仿宋" w:cs="Calibri"/>
          <w:color w:val="auto"/>
          <w:sz w:val="21"/>
          <w:szCs w:val="21"/>
        </w:rPr>
      </w:pPr>
    </w:p>
    <w:p>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29"/>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pPr>
        <w:pStyle w:val="36"/>
        <w:rPr>
          <w:rFonts w:hint="eastAsia"/>
        </w:rPr>
      </w:pPr>
    </w:p>
    <w:p>
      <w:pPr>
        <w:pStyle w:val="36"/>
        <w:rPr>
          <w:rFonts w:hint="eastAsia"/>
        </w:rPr>
      </w:pPr>
    </w:p>
    <w:p>
      <w:pPr>
        <w:pStyle w:val="23"/>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pPr>
        <w:pStyle w:val="4"/>
        <w:bidi w:val="0"/>
        <w:spacing w:beforeAutospacing="0" w:afterAutospacing="0" w:line="240" w:lineRule="auto"/>
        <w:jc w:val="center"/>
        <w:outlineLvl w:val="0"/>
        <w:rPr>
          <w:rFonts w:hint="eastAsia" w:ascii="宋体" w:hAnsi="宋体" w:eastAsia="宋体" w:cs="宋体"/>
          <w:lang w:eastAsia="zh-CN"/>
        </w:rPr>
        <w:sectPr>
          <w:pgSz w:w="11906" w:h="16838"/>
          <w:pgMar w:top="1418" w:right="1417" w:bottom="1417" w:left="1417" w:header="851" w:footer="851" w:gutter="0"/>
          <w:pgNumType w:fmt="decimal"/>
          <w:cols w:space="720" w:num="1"/>
          <w:docGrid w:linePitch="312" w:charSpace="0"/>
        </w:sectPr>
      </w:pPr>
    </w:p>
    <w:p>
      <w:pPr>
        <w:pStyle w:val="4"/>
        <w:bidi w:val="0"/>
        <w:spacing w:before="0" w:beforeAutospacing="0" w:after="0" w:afterAutospacing="0" w:line="240" w:lineRule="auto"/>
        <w:jc w:val="center"/>
        <w:outlineLvl w:val="0"/>
        <w:rPr>
          <w:rFonts w:hint="eastAsia" w:ascii="宋体" w:hAnsi="宋体" w:eastAsia="宋体" w:cs="宋体"/>
          <w:sz w:val="36"/>
          <w:szCs w:val="36"/>
          <w:lang w:eastAsia="zh-CN"/>
        </w:rPr>
      </w:pPr>
      <w:bookmarkStart w:id="1297" w:name="_Toc361"/>
      <w:r>
        <w:rPr>
          <w:rFonts w:hint="eastAsia" w:ascii="宋体" w:hAnsi="宋体" w:eastAsia="宋体" w:cs="宋体"/>
          <w:sz w:val="36"/>
          <w:szCs w:val="36"/>
          <w:lang w:eastAsia="zh-CN"/>
        </w:rPr>
        <w:t>第五章 工程量清单</w:t>
      </w:r>
      <w:bookmarkEnd w:id="1297"/>
    </w:p>
    <w:p>
      <w:pPr>
        <w:pStyle w:val="4"/>
        <w:numPr>
          <w:ilvl w:val="0"/>
          <w:numId w:val="0"/>
        </w:numPr>
        <w:jc w:val="center"/>
        <w:outlineLvl w:val="0"/>
        <w:rPr>
          <w:rFonts w:hint="eastAsia" w:ascii="宋体" w:hAnsi="宋体" w:eastAsia="宋体" w:cs="宋体"/>
          <w:color w:val="auto"/>
          <w:sz w:val="24"/>
          <w:szCs w:val="24"/>
          <w:highlight w:val="none"/>
          <w:lang w:eastAsia="zh-CN"/>
        </w:rPr>
      </w:pPr>
      <w:bookmarkStart w:id="1298" w:name="_Toc377676342"/>
      <w:bookmarkEnd w:id="1298"/>
      <w:bookmarkStart w:id="1299" w:name="_Toc389398567"/>
      <w:bookmarkEnd w:id="1299"/>
      <w:bookmarkStart w:id="1300" w:name="_Toc16529"/>
      <w:bookmarkEnd w:id="1300"/>
      <w:bookmarkStart w:id="1301" w:name="_Toc6377"/>
      <w:bookmarkEnd w:id="1301"/>
      <w:bookmarkStart w:id="1302" w:name="_Toc18292"/>
      <w:bookmarkEnd w:id="1302"/>
      <w:bookmarkStart w:id="1303" w:name="_Toc22921"/>
      <w:bookmarkEnd w:id="1303"/>
    </w:p>
    <w:p>
      <w:pPr>
        <w:pStyle w:val="4"/>
        <w:numPr>
          <w:ilvl w:val="0"/>
          <w:numId w:val="0"/>
        </w:numPr>
        <w:jc w:val="center"/>
        <w:outlineLvl w:val="0"/>
        <w:rPr>
          <w:rFonts w:hint="eastAsia" w:ascii="宋体" w:hAnsi="宋体" w:eastAsia="宋体" w:cs="宋体"/>
          <w:color w:val="auto"/>
          <w:sz w:val="24"/>
          <w:szCs w:val="24"/>
          <w:highlight w:val="none"/>
          <w:lang w:eastAsia="zh-CN"/>
        </w:rPr>
      </w:pPr>
    </w:p>
    <w:p>
      <w:pPr>
        <w:pStyle w:val="4"/>
        <w:numPr>
          <w:ilvl w:val="0"/>
          <w:numId w:val="0"/>
        </w:numPr>
        <w:jc w:val="center"/>
        <w:outlineLvl w:val="0"/>
        <w:rPr>
          <w:rFonts w:hint="eastAsia" w:ascii="宋体" w:hAnsi="宋体" w:eastAsia="宋体" w:cs="宋体"/>
          <w:color w:val="auto"/>
          <w:sz w:val="24"/>
          <w:szCs w:val="24"/>
          <w:highlight w:val="none"/>
          <w:lang w:eastAsia="zh-CN"/>
        </w:rPr>
      </w:pPr>
    </w:p>
    <w:p>
      <w:pPr>
        <w:pStyle w:val="4"/>
        <w:numPr>
          <w:ilvl w:val="0"/>
          <w:numId w:val="0"/>
        </w:numPr>
        <w:jc w:val="center"/>
        <w:outlineLvl w:val="0"/>
        <w:rPr>
          <w:rFonts w:hint="eastAsia" w:ascii="宋体" w:hAnsi="宋体" w:eastAsia="宋体" w:cs="宋体"/>
          <w:color w:val="auto"/>
          <w:sz w:val="24"/>
          <w:szCs w:val="24"/>
          <w:highlight w:val="none"/>
          <w:lang w:eastAsia="zh-CN"/>
        </w:rPr>
      </w:pPr>
      <w:bookmarkStart w:id="1304" w:name="_Toc28281"/>
      <w:bookmarkStart w:id="1305" w:name="_Toc31063"/>
      <w:r>
        <w:rPr>
          <w:rFonts w:hint="eastAsia" w:ascii="宋体" w:hAnsi="宋体" w:eastAsia="宋体" w:cs="宋体"/>
          <w:color w:val="auto"/>
          <w:sz w:val="24"/>
          <w:szCs w:val="24"/>
          <w:highlight w:val="none"/>
          <w:lang w:eastAsia="zh-CN"/>
        </w:rPr>
        <w:t>（另附）</w:t>
      </w:r>
      <w:bookmarkEnd w:id="1304"/>
      <w:bookmarkEnd w:id="1305"/>
    </w:p>
    <w:p>
      <w:pPr>
        <w:pStyle w:val="32"/>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5"/>
        <w:rPr>
          <w:rFonts w:hint="eastAsia"/>
        </w:rPr>
      </w:pPr>
    </w:p>
    <w:p>
      <w:pPr>
        <w:pStyle w:val="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rPr>
          <w:rFonts w:hint="eastAsia"/>
        </w:rPr>
      </w:pPr>
    </w:p>
    <w:p>
      <w:pPr>
        <w:pStyle w:val="4"/>
        <w:numPr>
          <w:ilvl w:val="0"/>
          <w:numId w:val="0"/>
        </w:numPr>
        <w:ind w:firstLine="3213" w:firstLineChars="1000"/>
        <w:jc w:val="both"/>
        <w:outlineLvl w:val="0"/>
        <w:rPr>
          <w:rFonts w:hint="eastAsia" w:ascii="宋体" w:hAnsi="宋体" w:eastAsia="宋体" w:cs="宋体"/>
          <w:color w:val="auto"/>
          <w:sz w:val="32"/>
          <w:szCs w:val="32"/>
          <w:highlight w:val="none"/>
          <w:lang w:eastAsia="zh-CN"/>
        </w:rPr>
        <w:sectPr>
          <w:pgSz w:w="11906" w:h="16838"/>
          <w:pgMar w:top="1418" w:right="1417" w:bottom="1417" w:left="1417" w:header="851" w:footer="851" w:gutter="0"/>
          <w:pgNumType w:fmt="decimal"/>
          <w:cols w:space="720" w:num="1"/>
          <w:docGrid w:linePitch="312" w:charSpace="0"/>
        </w:sectPr>
      </w:pPr>
    </w:p>
    <w:p>
      <w:pPr>
        <w:pStyle w:val="4"/>
        <w:bidi w:val="0"/>
        <w:spacing w:before="0" w:beforeAutospacing="0" w:after="0" w:afterAutospacing="0" w:line="240" w:lineRule="auto"/>
        <w:jc w:val="center"/>
        <w:outlineLvl w:val="0"/>
        <w:rPr>
          <w:rFonts w:hint="eastAsia" w:ascii="宋体" w:hAnsi="宋体" w:eastAsia="宋体" w:cs="宋体"/>
          <w:sz w:val="36"/>
          <w:szCs w:val="36"/>
          <w:lang w:eastAsia="zh-CN"/>
        </w:rPr>
      </w:pPr>
      <w:bookmarkStart w:id="1306" w:name="_Toc516822658"/>
      <w:bookmarkEnd w:id="1306"/>
      <w:bookmarkStart w:id="1307" w:name="_Toc26857"/>
      <w:bookmarkEnd w:id="1307"/>
      <w:bookmarkStart w:id="1308" w:name="_Toc7767"/>
      <w:bookmarkEnd w:id="1308"/>
      <w:bookmarkStart w:id="1309" w:name="_Toc29908"/>
      <w:r>
        <w:rPr>
          <w:rFonts w:hint="eastAsia" w:ascii="宋体" w:hAnsi="宋体" w:eastAsia="宋体" w:cs="宋体"/>
          <w:sz w:val="36"/>
          <w:szCs w:val="36"/>
          <w:lang w:eastAsia="zh-CN"/>
        </w:rPr>
        <w:t>第六章  图  纸</w:t>
      </w:r>
      <w:bookmarkEnd w:id="1309"/>
    </w:p>
    <w:p>
      <w:pPr>
        <w:pStyle w:val="4"/>
        <w:numPr>
          <w:ilvl w:val="0"/>
          <w:numId w:val="0"/>
        </w:numPr>
        <w:jc w:val="center"/>
        <w:outlineLvl w:val="0"/>
        <w:rPr>
          <w:rFonts w:hint="eastAsia" w:ascii="宋体" w:hAnsi="宋体" w:eastAsia="宋体" w:cs="宋体"/>
          <w:color w:val="auto"/>
          <w:sz w:val="24"/>
          <w:szCs w:val="24"/>
          <w:highlight w:val="none"/>
          <w:lang w:eastAsia="zh-CN"/>
        </w:rPr>
      </w:pPr>
      <w:bookmarkStart w:id="1310" w:name="_Toc6948"/>
      <w:bookmarkEnd w:id="1310"/>
      <w:bookmarkStart w:id="1311" w:name="_Toc13437"/>
      <w:bookmarkEnd w:id="1311"/>
      <w:bookmarkStart w:id="1312" w:name="_Toc11591"/>
    </w:p>
    <w:p>
      <w:pPr>
        <w:pStyle w:val="4"/>
        <w:numPr>
          <w:ilvl w:val="0"/>
          <w:numId w:val="0"/>
        </w:numPr>
        <w:jc w:val="center"/>
        <w:outlineLvl w:val="0"/>
        <w:rPr>
          <w:rFonts w:hint="eastAsia" w:ascii="宋体" w:hAnsi="宋体" w:eastAsia="宋体" w:cs="宋体"/>
          <w:color w:val="auto"/>
          <w:sz w:val="24"/>
          <w:szCs w:val="24"/>
          <w:highlight w:val="none"/>
          <w:lang w:eastAsia="zh-CN"/>
        </w:rPr>
      </w:pPr>
    </w:p>
    <w:p>
      <w:pPr>
        <w:pStyle w:val="4"/>
        <w:numPr>
          <w:ilvl w:val="0"/>
          <w:numId w:val="0"/>
        </w:numPr>
        <w:jc w:val="center"/>
        <w:outlineLvl w:val="0"/>
        <w:rPr>
          <w:rFonts w:hint="eastAsia" w:ascii="宋体" w:hAnsi="宋体" w:eastAsia="宋体" w:cs="宋体"/>
          <w:color w:val="auto"/>
          <w:sz w:val="24"/>
          <w:szCs w:val="24"/>
          <w:highlight w:val="none"/>
          <w:lang w:eastAsia="zh-CN"/>
        </w:rPr>
      </w:pPr>
    </w:p>
    <w:p>
      <w:pPr>
        <w:pStyle w:val="4"/>
        <w:numPr>
          <w:ilvl w:val="0"/>
          <w:numId w:val="0"/>
        </w:numPr>
        <w:ind w:firstLine="4096" w:firstLineChars="1700"/>
        <w:jc w:val="both"/>
        <w:outlineLvl w:val="0"/>
        <w:rPr>
          <w:rFonts w:hint="eastAsia" w:ascii="宋体" w:hAnsi="宋体" w:eastAsia="宋体" w:cs="宋体"/>
          <w:color w:val="auto"/>
          <w:sz w:val="24"/>
          <w:szCs w:val="24"/>
          <w:highlight w:val="none"/>
          <w:lang w:eastAsia="zh-CN"/>
        </w:rPr>
      </w:pPr>
      <w:bookmarkStart w:id="1313" w:name="_Toc15599"/>
      <w:bookmarkStart w:id="1314" w:name="_Toc15886"/>
      <w:r>
        <w:rPr>
          <w:rFonts w:hint="eastAsia" w:ascii="宋体" w:hAnsi="宋体" w:eastAsia="宋体" w:cs="宋体"/>
          <w:color w:val="auto"/>
          <w:sz w:val="24"/>
          <w:szCs w:val="24"/>
          <w:highlight w:val="none"/>
          <w:lang w:eastAsia="zh-CN"/>
        </w:rPr>
        <w:t>（无）</w:t>
      </w:r>
      <w:bookmarkEnd w:id="1312"/>
      <w:bookmarkEnd w:id="1313"/>
      <w:bookmarkEnd w:id="1314"/>
    </w:p>
    <w:p>
      <w:pPr>
        <w:pStyle w:val="4"/>
        <w:numPr>
          <w:ilvl w:val="0"/>
          <w:numId w:val="5"/>
        </w:numPr>
        <w:spacing w:line="360" w:lineRule="auto"/>
        <w:jc w:val="center"/>
        <w:outlineLvl w:val="0"/>
        <w:rPr>
          <w:rFonts w:hint="eastAsia" w:ascii="宋体" w:hAnsi="宋体" w:eastAsia="宋体" w:cs="宋体"/>
          <w:lang w:eastAsia="zh-CN"/>
        </w:rPr>
      </w:pPr>
      <w:bookmarkStart w:id="1315" w:name="_Toc13291"/>
      <w:bookmarkEnd w:id="1315"/>
      <w:bookmarkStart w:id="1316" w:name="_Toc516822661"/>
      <w:bookmarkEnd w:id="1316"/>
      <w:bookmarkStart w:id="1317" w:name="_Toc11671"/>
      <w:bookmarkEnd w:id="1317"/>
      <w:r>
        <w:rPr>
          <w:rFonts w:hint="eastAsia" w:ascii="宋体" w:hAnsi="宋体" w:eastAsia="宋体" w:cs="宋体"/>
          <w:color w:val="auto"/>
          <w:highlight w:val="none"/>
        </w:rPr>
        <w:br w:type="page"/>
      </w:r>
      <w:bookmarkStart w:id="1318" w:name="_Toc16047"/>
      <w:r>
        <w:rPr>
          <w:rFonts w:hint="eastAsia" w:ascii="宋体" w:hAnsi="宋体" w:eastAsia="宋体" w:cs="宋体"/>
          <w:sz w:val="36"/>
          <w:szCs w:val="36"/>
          <w:lang w:eastAsia="zh-CN"/>
        </w:rPr>
        <w:t>技术标准和要求</w:t>
      </w:r>
      <w:bookmarkEnd w:id="1318"/>
    </w:p>
    <w:p>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本节由招标人根据国家、行业和地方现行标准、规范和规程等，以及项目具体情况摘录。</w:t>
      </w:r>
    </w:p>
    <w:p>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一、国家关于工程建设现行的有关法律、法规</w:t>
      </w:r>
    </w:p>
    <w:p>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二、国家关于工程建设现行的规范、标准及行业的有关规定。</w:t>
      </w:r>
    </w:p>
    <w:p>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三、以上第一至第二条两项规范涉及到的其他现行国家规范、规程、规定和地方管理规定。</w:t>
      </w:r>
    </w:p>
    <w:p>
      <w:pPr>
        <w:numPr>
          <w:ilvl w:val="0"/>
          <w:numId w:val="0"/>
        </w:numPr>
        <w:spacing w:line="500" w:lineRule="exact"/>
        <w:ind w:left="42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工程施工设计图</w:t>
      </w:r>
    </w:p>
    <w:p>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声明：标准、规范及规程、图纸是本工程建设的最基本依据。实施中所用标准和技术规范均应为经审批之日为止时的最新版本。</w:t>
      </w:r>
    </w:p>
    <w:p>
      <w:pPr>
        <w:pStyle w:val="4"/>
        <w:bidi w:val="0"/>
        <w:spacing w:beforeAutospacing="0" w:afterAutospacing="0" w:line="240" w:lineRule="auto"/>
        <w:jc w:val="center"/>
        <w:outlineLvl w:val="0"/>
        <w:rPr>
          <w:rFonts w:hint="eastAsia" w:ascii="宋体" w:hAnsi="宋体" w:eastAsia="宋体" w:cs="宋体"/>
          <w:lang w:eastAsia="zh-CN"/>
        </w:rPr>
        <w:sectPr>
          <w:pgSz w:w="11906" w:h="16838"/>
          <w:pgMar w:top="1418" w:right="1417" w:bottom="1417" w:left="1417" w:header="851" w:footer="851" w:gutter="0"/>
          <w:pgNumType w:fmt="decimal"/>
          <w:cols w:space="720" w:num="1"/>
          <w:docGrid w:linePitch="312" w:charSpace="0"/>
        </w:sectPr>
      </w:pPr>
    </w:p>
    <w:p>
      <w:pPr>
        <w:pStyle w:val="4"/>
        <w:bidi w:val="0"/>
        <w:spacing w:before="0" w:beforeAutospacing="0" w:after="0" w:afterAutospacing="0" w:line="240" w:lineRule="auto"/>
        <w:jc w:val="center"/>
        <w:outlineLvl w:val="0"/>
        <w:rPr>
          <w:rFonts w:hint="eastAsia" w:ascii="宋体" w:hAnsi="宋体" w:eastAsia="宋体" w:cs="宋体"/>
          <w:sz w:val="36"/>
          <w:szCs w:val="36"/>
          <w:lang w:eastAsia="zh-CN"/>
        </w:rPr>
      </w:pPr>
      <w:bookmarkStart w:id="1319" w:name="_Toc5197"/>
      <w:r>
        <w:rPr>
          <w:rFonts w:hint="eastAsia" w:ascii="宋体" w:hAnsi="宋体" w:eastAsia="宋体" w:cs="宋体"/>
          <w:sz w:val="36"/>
          <w:szCs w:val="36"/>
          <w:lang w:eastAsia="zh-CN"/>
        </w:rPr>
        <w:t>第八章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lang w:eastAsia="zh-CN"/>
        </w:rPr>
        <w:t>投标文件格式</w:t>
      </w:r>
      <w:bookmarkEnd w:id="1319"/>
    </w:p>
    <w:p>
      <w:pP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24"/>
          <w:szCs w:val="24"/>
          <w:highlight w:val="none"/>
          <w:u w:val="single"/>
        </w:rPr>
      </w:pPr>
    </w:p>
    <w:p>
      <w:pPr>
        <w:jc w:val="center"/>
        <w:rPr>
          <w:rFonts w:hint="eastAsia" w:ascii="宋体" w:hAnsi="宋体" w:eastAsia="宋体" w:cs="宋体"/>
          <w:color w:val="auto"/>
          <w:sz w:val="24"/>
          <w:szCs w:val="24"/>
          <w:highlight w:val="none"/>
          <w:u w:val="single"/>
        </w:rPr>
      </w:pPr>
    </w:p>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标段</w:t>
      </w:r>
      <w:r>
        <w:rPr>
          <w:rFonts w:hint="eastAsia" w:ascii="宋体" w:hAnsi="宋体" w:cs="宋体"/>
          <w:color w:val="auto"/>
          <w:sz w:val="24"/>
          <w:szCs w:val="24"/>
          <w:highlight w:val="none"/>
          <w:lang w:eastAsia="zh-CN"/>
        </w:rPr>
        <w:t>）</w:t>
      </w:r>
    </w:p>
    <w:p>
      <w:pPr>
        <w:spacing w:before="240" w:beforeLines="100" w:beforeAutospacing="0" w:afterAutospacing="0"/>
        <w:jc w:val="center"/>
        <w:rPr>
          <w:rFonts w:hint="eastAsia" w:ascii="宋体" w:hAnsi="宋体" w:eastAsia="宋体" w:cs="宋体"/>
          <w:color w:val="auto"/>
          <w:sz w:val="72"/>
          <w:szCs w:val="72"/>
          <w:highlight w:val="none"/>
        </w:rPr>
      </w:pPr>
    </w:p>
    <w:p>
      <w:pPr>
        <w:spacing w:before="240" w:beforeLines="100" w:beforeAutospacing="0" w:afterAutospacing="0"/>
        <w:jc w:val="center"/>
        <w:rPr>
          <w:rFonts w:hint="eastAsia" w:ascii="宋体" w:hAnsi="宋体" w:eastAsia="宋体" w:cs="宋体"/>
          <w:color w:val="auto"/>
          <w:sz w:val="72"/>
          <w:szCs w:val="72"/>
          <w:highlight w:val="none"/>
        </w:rPr>
      </w:pPr>
    </w:p>
    <w:p>
      <w:pPr>
        <w:spacing w:before="240" w:beforeLines="100" w:beforeAutospacing="0" w:afterAutospacing="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spacing w:beforeAutospacing="0" w:afterAutospacing="0" w:line="360" w:lineRule="auto"/>
        <w:jc w:val="center"/>
        <w:rPr>
          <w:rFonts w:hint="eastAsia" w:ascii="宋体" w:hAnsi="宋体" w:eastAsia="宋体" w:cs="宋体"/>
          <w:color w:val="auto"/>
          <w:sz w:val="28"/>
          <w:szCs w:val="28"/>
          <w:highlight w:val="none"/>
        </w:rPr>
      </w:pPr>
    </w:p>
    <w:p>
      <w:pPr>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单位电子签章</w:t>
      </w:r>
      <w:r>
        <w:rPr>
          <w:rFonts w:hint="eastAsia" w:ascii="宋体" w:hAnsi="宋体" w:eastAsia="宋体" w:cs="宋体"/>
          <w:color w:val="auto"/>
          <w:sz w:val="24"/>
          <w:szCs w:val="24"/>
          <w:highlight w:val="none"/>
        </w:rPr>
        <w:t>）</w:t>
      </w:r>
    </w:p>
    <w:p>
      <w:pPr>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ascii="宋体" w:hAnsi="宋体" w:eastAsia="宋体" w:cs="宋体"/>
          <w:color w:val="auto"/>
          <w:highlight w:val="none"/>
        </w:rPr>
      </w:pPr>
    </w:p>
    <w:p>
      <w:pPr>
        <w:pStyle w:val="3"/>
        <w:rPr>
          <w:rFonts w:hint="eastAsia"/>
        </w:rPr>
      </w:pPr>
    </w:p>
    <w:p>
      <w:pPr>
        <w:spacing w:beforeAutospacing="0" w:afterAutospacing="0" w:line="580" w:lineRule="exact"/>
        <w:ind w:firstLine="481" w:firstLineChars="171"/>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pPr>
        <w:spacing w:beforeAutospacing="0" w:afterAutospacing="0" w:line="480" w:lineRule="auto"/>
        <w:ind w:left="3430" w:leftChars="605" w:hanging="2160" w:hangingChars="900"/>
        <w:rPr>
          <w:rFonts w:hint="eastAsia" w:ascii="宋体" w:hAnsi="宋体" w:eastAsia="宋体" w:cs="宋体"/>
          <w:sz w:val="24"/>
          <w:szCs w:val="24"/>
        </w:rPr>
      </w:pPr>
    </w:p>
    <w:p>
      <w:pPr>
        <w:spacing w:beforeAutospacing="0" w:afterAutospacing="0" w:line="480" w:lineRule="auto"/>
        <w:ind w:left="3430" w:leftChars="605" w:hanging="2160" w:hangingChars="900"/>
        <w:rPr>
          <w:rFonts w:hint="eastAsia" w:ascii="宋体" w:hAnsi="宋体" w:eastAsia="宋体" w:cs="宋体"/>
          <w:sz w:val="24"/>
          <w:szCs w:val="24"/>
        </w:rPr>
      </w:pPr>
      <w:r>
        <w:rPr>
          <w:rFonts w:hint="eastAsia" w:ascii="宋体" w:hAnsi="宋体" w:eastAsia="宋体" w:cs="宋体"/>
          <w:sz w:val="24"/>
          <w:szCs w:val="24"/>
        </w:rPr>
        <w:t>一、投标函及投标函附录</w:t>
      </w:r>
    </w:p>
    <w:p>
      <w:pPr>
        <w:spacing w:beforeAutospacing="0" w:afterAutospacing="0" w:line="480" w:lineRule="auto"/>
        <w:ind w:left="4317" w:leftChars="600" w:hanging="3057" w:hangingChars="1274"/>
        <w:rPr>
          <w:rFonts w:hint="eastAsia" w:ascii="宋体" w:hAnsi="宋体" w:eastAsia="宋体" w:cs="宋体"/>
          <w:sz w:val="24"/>
          <w:szCs w:val="24"/>
        </w:rPr>
      </w:pPr>
      <w:r>
        <w:rPr>
          <w:rFonts w:hint="eastAsia" w:ascii="宋体" w:hAnsi="宋体" w:eastAsia="宋体" w:cs="宋体"/>
          <w:sz w:val="24"/>
          <w:szCs w:val="24"/>
        </w:rPr>
        <w:t>二、法定代表人身份证明</w:t>
      </w:r>
    </w:p>
    <w:p>
      <w:pPr>
        <w:spacing w:beforeAutospacing="0" w:afterAutospacing="0" w:line="480" w:lineRule="auto"/>
        <w:ind w:left="4317" w:leftChars="600" w:hanging="3057" w:hangingChars="1274"/>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授权委托书</w:t>
      </w:r>
    </w:p>
    <w:p>
      <w:pPr>
        <w:spacing w:beforeAutospacing="0" w:afterAutospacing="0" w:line="480" w:lineRule="auto"/>
        <w:ind w:left="4317" w:leftChars="600" w:hanging="3057" w:hangingChars="1274"/>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、已标价工程量清单</w:t>
      </w:r>
    </w:p>
    <w:p>
      <w:pPr>
        <w:spacing w:beforeAutospacing="0" w:afterAutospacing="0" w:line="480" w:lineRule="auto"/>
        <w:ind w:left="4317" w:leftChars="600" w:hanging="3057" w:hangingChars="1274"/>
        <w:rPr>
          <w:rFonts w:hint="eastAsia" w:ascii="宋体" w:hAnsi="宋体" w:eastAsia="宋体" w:cs="宋体"/>
          <w:sz w:val="24"/>
          <w:szCs w:val="24"/>
        </w:rPr>
      </w:pPr>
      <w:r>
        <w:rPr>
          <w:rFonts w:hint="eastAsia" w:ascii="宋体" w:hAnsi="宋体" w:cs="宋体"/>
          <w:sz w:val="24"/>
          <w:szCs w:val="24"/>
          <w:lang w:eastAsia="zh-CN"/>
        </w:rPr>
        <w:t>五</w:t>
      </w:r>
      <w:r>
        <w:rPr>
          <w:rFonts w:hint="eastAsia" w:ascii="宋体" w:hAnsi="宋体" w:eastAsia="宋体" w:cs="宋体"/>
          <w:sz w:val="24"/>
          <w:szCs w:val="24"/>
        </w:rPr>
        <w:t>、施工组织设计</w:t>
      </w:r>
    </w:p>
    <w:p>
      <w:pPr>
        <w:spacing w:beforeAutospacing="0" w:afterAutospacing="0" w:line="480" w:lineRule="auto"/>
        <w:ind w:left="4317" w:leftChars="600" w:hanging="3057" w:hangingChars="1274"/>
        <w:rPr>
          <w:rFonts w:hint="eastAsia" w:ascii="宋体" w:hAnsi="宋体" w:eastAsia="宋体" w:cs="宋体"/>
          <w:sz w:val="24"/>
          <w:szCs w:val="24"/>
        </w:rPr>
      </w:pPr>
      <w:r>
        <w:rPr>
          <w:rFonts w:hint="eastAsia" w:ascii="宋体" w:hAnsi="宋体" w:cs="宋体"/>
          <w:sz w:val="24"/>
          <w:szCs w:val="24"/>
          <w:lang w:eastAsia="zh-CN"/>
        </w:rPr>
        <w:t>六</w:t>
      </w:r>
      <w:r>
        <w:rPr>
          <w:rFonts w:hint="eastAsia" w:ascii="宋体" w:hAnsi="宋体" w:eastAsia="宋体" w:cs="宋体"/>
          <w:sz w:val="24"/>
          <w:szCs w:val="24"/>
        </w:rPr>
        <w:t>、项目管理机构</w:t>
      </w:r>
    </w:p>
    <w:p>
      <w:pPr>
        <w:spacing w:beforeAutospacing="0" w:afterAutospacing="0" w:line="480" w:lineRule="auto"/>
        <w:ind w:left="4317" w:leftChars="600" w:hanging="3057" w:hangingChars="1274"/>
        <w:rPr>
          <w:rFonts w:hint="eastAsia" w:ascii="宋体" w:hAnsi="宋体" w:eastAsia="宋体" w:cs="宋体"/>
          <w:sz w:val="24"/>
          <w:szCs w:val="24"/>
        </w:rPr>
      </w:pPr>
      <w:r>
        <w:rPr>
          <w:rFonts w:hint="eastAsia" w:ascii="宋体" w:hAnsi="宋体" w:cs="宋体"/>
          <w:sz w:val="24"/>
          <w:szCs w:val="24"/>
          <w:lang w:eastAsia="zh-CN"/>
        </w:rPr>
        <w:t>七</w:t>
      </w:r>
      <w:r>
        <w:rPr>
          <w:rFonts w:hint="eastAsia" w:ascii="宋体" w:hAnsi="宋体" w:eastAsia="宋体" w:cs="宋体"/>
          <w:sz w:val="24"/>
          <w:szCs w:val="24"/>
        </w:rPr>
        <w:t>、资格审查资料</w:t>
      </w:r>
    </w:p>
    <w:p>
      <w:pPr>
        <w:spacing w:beforeAutospacing="0" w:afterAutospacing="0" w:line="480" w:lineRule="auto"/>
        <w:ind w:left="4317" w:leftChars="600" w:hanging="3057" w:hangingChars="1274"/>
        <w:rPr>
          <w:rFonts w:hint="eastAsia" w:ascii="宋体" w:hAnsi="宋体" w:eastAsia="宋体" w:cs="宋体"/>
          <w:sz w:val="24"/>
          <w:szCs w:val="24"/>
        </w:rPr>
      </w:pPr>
      <w:r>
        <w:rPr>
          <w:rFonts w:hint="eastAsia" w:ascii="宋体" w:hAnsi="宋体" w:cs="宋体"/>
          <w:sz w:val="24"/>
          <w:szCs w:val="24"/>
          <w:lang w:eastAsia="zh-CN"/>
        </w:rPr>
        <w:t>八</w:t>
      </w:r>
      <w:r>
        <w:rPr>
          <w:rFonts w:hint="eastAsia" w:ascii="宋体" w:hAnsi="宋体" w:eastAsia="宋体" w:cs="宋体"/>
          <w:sz w:val="24"/>
          <w:szCs w:val="24"/>
        </w:rPr>
        <w:t>、其他资料</w:t>
      </w: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3"/>
        <w:rPr>
          <w:rFonts w:hint="eastAsia"/>
        </w:rPr>
      </w:pPr>
    </w:p>
    <w:p>
      <w:pPr>
        <w:pStyle w:val="32"/>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pStyle w:val="32"/>
        <w:rPr>
          <w:rFonts w:hint="eastAsia" w:ascii="宋体" w:hAnsi="宋体" w:eastAsia="宋体" w:cs="宋体"/>
          <w:color w:val="auto"/>
          <w:sz w:val="28"/>
          <w:szCs w:val="28"/>
          <w:highlight w:val="none"/>
        </w:rPr>
      </w:pPr>
    </w:p>
    <w:p>
      <w:pPr>
        <w:pStyle w:val="35"/>
        <w:rPr>
          <w:rFonts w:hint="eastAsia"/>
        </w:rPr>
      </w:pPr>
    </w:p>
    <w:p>
      <w:pPr>
        <w:pStyle w:val="5"/>
        <w:numPr>
          <w:ilvl w:val="0"/>
          <w:numId w:val="0"/>
        </w:numPr>
        <w:jc w:val="center"/>
        <w:outlineLvl w:val="1"/>
        <w:rPr>
          <w:rFonts w:hint="eastAsia" w:ascii="宋体" w:hAnsi="宋体" w:eastAsia="宋体" w:cs="宋体"/>
          <w:color w:val="auto"/>
          <w:sz w:val="28"/>
          <w:szCs w:val="28"/>
          <w:highlight w:val="none"/>
        </w:rPr>
      </w:pPr>
      <w:bookmarkStart w:id="1320" w:name="_Toc516822663"/>
      <w:bookmarkEnd w:id="1320"/>
      <w:bookmarkStart w:id="1321" w:name="_Toc23633"/>
      <w:bookmarkEnd w:id="1321"/>
      <w:bookmarkStart w:id="1322" w:name="_Toc25356"/>
      <w:bookmarkEnd w:id="1322"/>
      <w:bookmarkStart w:id="1323" w:name="_Toc1957"/>
      <w:bookmarkStart w:id="1324" w:name="_Toc516822664"/>
      <w:bookmarkStart w:id="1325" w:name="_Toc22779"/>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投标函及投标函附录</w:t>
      </w:r>
      <w:bookmarkEnd w:id="1323"/>
    </w:p>
    <w:bookmarkEnd w:id="1324"/>
    <w:bookmarkEnd w:id="1325"/>
    <w:p>
      <w:pPr>
        <w:pStyle w:val="6"/>
        <w:numPr>
          <w:ilvl w:val="0"/>
          <w:numId w:val="0"/>
        </w:numPr>
        <w:ind w:firstLine="3614" w:firstLineChars="1500"/>
        <w:rPr>
          <w:rFonts w:hint="eastAsia" w:ascii="宋体" w:hAnsi="宋体" w:eastAsia="宋体" w:cs="宋体"/>
          <w:color w:val="auto"/>
          <w:sz w:val="24"/>
          <w:szCs w:val="24"/>
          <w:highlight w:val="none"/>
        </w:rPr>
      </w:pPr>
      <w:bookmarkStart w:id="1326" w:name="_Toc10462"/>
      <w:bookmarkEnd w:id="1326"/>
      <w:bookmarkStart w:id="1327" w:name="_Toc16914"/>
      <w:bookmarkEnd w:id="1327"/>
      <w:bookmarkStart w:id="1328" w:name="_Toc921"/>
      <w:bookmarkEnd w:id="1328"/>
      <w:bookmarkStart w:id="1329" w:name="_Toc3398"/>
      <w:bookmarkEnd w:id="1329"/>
      <w:bookmarkStart w:id="1330" w:name="_Toc21001"/>
      <w:bookmarkStart w:id="1331" w:name="_Toc23765"/>
      <w:bookmarkStart w:id="1332" w:name="_Toc8437"/>
      <w:r>
        <w:rPr>
          <w:rFonts w:hint="eastAsia" w:ascii="宋体" w:hAnsi="宋体" w:eastAsia="宋体" w:cs="宋体"/>
          <w:color w:val="auto"/>
          <w:sz w:val="24"/>
          <w:szCs w:val="24"/>
          <w:highlight w:val="none"/>
        </w:rPr>
        <w:t>（一）投标函</w:t>
      </w:r>
      <w:bookmarkEnd w:id="1330"/>
      <w:bookmarkEnd w:id="1331"/>
      <w:bookmarkEnd w:id="1332"/>
    </w:p>
    <w:p>
      <w:pPr>
        <w:keepNext w:val="0"/>
        <w:keepLines w:val="0"/>
        <w:pageBreakBefore w:val="0"/>
        <w:widowControl w:val="0"/>
        <w:kinsoku/>
        <w:overflowPunct/>
        <w:topLinePunct w:val="0"/>
        <w:bidi w:val="0"/>
        <w:adjustRightInd/>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名称）</w:t>
      </w:r>
    </w:p>
    <w:p>
      <w:pPr>
        <w:keepNext w:val="0"/>
        <w:keepLines w:val="0"/>
        <w:pageBreakBefore w:val="0"/>
        <w:widowControl w:val="0"/>
        <w:numPr>
          <w:ilvl w:val="0"/>
          <w:numId w:val="0"/>
        </w:numPr>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标段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招标文件的全部内容，愿以人民币（大写）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元）的投标总报价，工期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日历天，按合同约定实施和完成承包工程，修补工程中的任何缺陷，工程质量达到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我方承诺投标有效期为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天，在投标有效期内不修改、撤销投标文件。</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如我方中标：</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pPr>
        <w:keepNext w:val="0"/>
        <w:keepLines w:val="0"/>
        <w:pageBreakBefore w:val="0"/>
        <w:widowControl w:val="0"/>
        <w:kinsoku/>
        <w:overflowPunct/>
        <w:topLinePunct w:val="0"/>
        <w:bidi w:val="0"/>
        <w:adjustRightInd/>
        <w:spacing w:beforeAutospacing="0" w:afterAutospacing="0" w:line="5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（2）随同本投标函递交的投标函附录属于合同文件的组成部分。</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（3）我方承诺按照招标文件规定向你方递交履约担保。</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（4）我方承诺在合同约定的期限内完成并移交全部合同工程。</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我方在此声明，所递交的投标文件及有关资料内容完整、真实和准确，且不存在第二章“投标人须知”第1.4.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项规定的任何一种情形。</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pPr>
        <w:keepNext w:val="0"/>
        <w:keepLines w:val="0"/>
        <w:pageBreakBefore w:val="0"/>
        <w:widowControl w:val="0"/>
        <w:kinsoku/>
        <w:overflowPunct/>
        <w:topLinePunct w:val="0"/>
        <w:bidi w:val="0"/>
        <w:adjustRightInd/>
        <w:spacing w:beforeAutospacing="0" w:afterAutospacing="0" w:line="500" w:lineRule="exact"/>
        <w:ind w:firstLine="3120" w:firstLineChars="1300"/>
        <w:textAlignment w:val="auto"/>
        <w:rPr>
          <w:rFonts w:hint="eastAsia" w:ascii="宋体" w:hAnsi="宋体" w:eastAsia="宋体" w:cs="宋体"/>
          <w:color w:val="auto"/>
          <w:sz w:val="24"/>
          <w:szCs w:val="24"/>
          <w:highlight w:val="none"/>
        </w:rPr>
      </w:pPr>
    </w:p>
    <w:p>
      <w:pPr>
        <w:keepNext w:val="0"/>
        <w:keepLines w:val="0"/>
        <w:pageBreakBefore w:val="0"/>
        <w:widowControl w:val="0"/>
        <w:kinsoku/>
        <w:overflowPunct/>
        <w:topLinePunct w:val="0"/>
        <w:bidi w:val="0"/>
        <w:adjustRightInd/>
        <w:spacing w:beforeAutospacing="0" w:afterAutospacing="0" w:line="500" w:lineRule="exact"/>
        <w:ind w:firstLine="3120" w:firstLineChars="1300"/>
        <w:textAlignment w:val="auto"/>
        <w:rPr>
          <w:rFonts w:hint="eastAsia" w:ascii="宋体" w:hAnsi="宋体" w:eastAsia="宋体" w:cs="宋体"/>
          <w:color w:val="auto"/>
          <w:sz w:val="24"/>
          <w:szCs w:val="24"/>
          <w:highlight w:val="none"/>
        </w:rPr>
      </w:pPr>
    </w:p>
    <w:p>
      <w:pPr>
        <w:keepNext w:val="0"/>
        <w:keepLines w:val="0"/>
        <w:pageBreakBefore w:val="0"/>
        <w:widowControl w:val="0"/>
        <w:kinsoku/>
        <w:overflowPunct/>
        <w:topLinePunct w:val="0"/>
        <w:bidi w:val="0"/>
        <w:adjustRightInd/>
        <w:spacing w:beforeAutospacing="0" w:afterAutospacing="0" w:line="500" w:lineRule="exact"/>
        <w:ind w:firstLine="3120" w:firstLineChars="1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000000"/>
          <w:sz w:val="24"/>
          <w:szCs w:val="24"/>
        </w:rPr>
        <w:t>单位电子签章</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bidi w:val="0"/>
        <w:adjustRightInd/>
        <w:spacing w:beforeAutospacing="0" w:afterAutospacing="0" w:line="500" w:lineRule="exact"/>
        <w:ind w:firstLine="3120" w:firstLineChars="1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电子签名或盖章</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bidi w:val="0"/>
        <w:adjustRightInd/>
        <w:spacing w:beforeAutospacing="0" w:afterAutospacing="0" w:line="500" w:lineRule="exact"/>
        <w:ind w:firstLine="3120" w:firstLineChars="1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bidi w:val="0"/>
        <w:adjustRightInd/>
        <w:spacing w:beforeAutospacing="0" w:afterAutospacing="0" w:line="500" w:lineRule="exact"/>
        <w:ind w:firstLine="3120" w:firstLineChars="1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bidi w:val="0"/>
        <w:adjustRightInd/>
        <w:spacing w:beforeAutospacing="0" w:afterAutospacing="0" w:line="500" w:lineRule="exact"/>
        <w:ind w:firstLine="3120" w:firstLineChars="1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Autospacing="0" w:afterAutospacing="0" w:line="480" w:lineRule="exact"/>
        <w:ind w:left="420" w:firstLine="3418" w:firstLineChars="1628"/>
        <w:rPr>
          <w:rFonts w:hint="eastAsia" w:ascii="宋体" w:hAnsi="宋体" w:eastAsia="宋体" w:cs="宋体"/>
          <w:color w:val="auto"/>
          <w:szCs w:val="21"/>
          <w:highlight w:val="none"/>
        </w:rPr>
      </w:pPr>
    </w:p>
    <w:p>
      <w:pPr>
        <w:spacing w:beforeAutospacing="0" w:afterAutospacing="0" w:line="480" w:lineRule="exact"/>
        <w:ind w:left="420" w:firstLine="3418" w:firstLineChars="1628"/>
        <w:rPr>
          <w:rFonts w:hint="eastAsia" w:ascii="宋体" w:hAnsi="宋体" w:eastAsia="宋体" w:cs="宋体"/>
          <w:color w:val="auto"/>
          <w:szCs w:val="21"/>
          <w:highlight w:val="none"/>
        </w:rPr>
      </w:pPr>
    </w:p>
    <w:p>
      <w:pPr>
        <w:spacing w:beforeAutospacing="0" w:afterAutospacing="0" w:line="480" w:lineRule="exact"/>
        <w:ind w:left="420" w:firstLine="3418" w:firstLineChars="1628"/>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3"/>
        <w:rPr>
          <w:rFonts w:hint="eastAsia"/>
        </w:rPr>
      </w:pPr>
    </w:p>
    <w:p>
      <w:pPr>
        <w:pStyle w:val="6"/>
        <w:jc w:val="center"/>
        <w:outlineLvl w:val="2"/>
        <w:rPr>
          <w:rFonts w:hint="eastAsia" w:ascii="宋体" w:hAnsi="宋体" w:eastAsia="宋体" w:cs="宋体"/>
          <w:color w:val="auto"/>
          <w:sz w:val="24"/>
          <w:szCs w:val="24"/>
          <w:highlight w:val="none"/>
        </w:rPr>
      </w:pPr>
      <w:bookmarkStart w:id="1333" w:name="_Toc516822665"/>
      <w:bookmarkEnd w:id="1333"/>
      <w:bookmarkStart w:id="1334" w:name="_Toc31508"/>
      <w:bookmarkEnd w:id="1334"/>
      <w:bookmarkStart w:id="1335" w:name="_Toc5015"/>
      <w:bookmarkEnd w:id="1335"/>
      <w:bookmarkStart w:id="1336" w:name="_Toc10755"/>
      <w:bookmarkEnd w:id="1336"/>
      <w:bookmarkStart w:id="1337" w:name="_Toc9996"/>
      <w:bookmarkEnd w:id="1337"/>
      <w:bookmarkStart w:id="1338" w:name="_Toc32278"/>
      <w:bookmarkEnd w:id="1338"/>
      <w:bookmarkStart w:id="1339" w:name="_Toc28110"/>
      <w:bookmarkStart w:id="1340" w:name="_Toc26863"/>
      <w:bookmarkStart w:id="1341" w:name="_Toc19250"/>
      <w:r>
        <w:rPr>
          <w:rFonts w:hint="eastAsia" w:ascii="宋体" w:hAnsi="宋体" w:eastAsia="宋体" w:cs="宋体"/>
          <w:color w:val="auto"/>
          <w:sz w:val="24"/>
          <w:szCs w:val="24"/>
          <w:highlight w:val="none"/>
        </w:rPr>
        <w:t>（二）投标函附录</w:t>
      </w:r>
      <w:bookmarkEnd w:id="1339"/>
      <w:bookmarkEnd w:id="1340"/>
      <w:bookmarkEnd w:id="1341"/>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1786"/>
        <w:gridCol w:w="2201"/>
        <w:gridCol w:w="2201"/>
        <w:gridCol w:w="2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pStyle w:val="12"/>
              <w:spacing w:before="0" w:beforeAutospacing="0" w:afterAutospacing="0" w:line="5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投标供应商</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投报标段</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263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投标总报价</w:t>
            </w:r>
            <w:r>
              <w:rPr>
                <w:rFonts w:hint="eastAsia" w:ascii="宋体" w:hAnsi="宋体" w:eastAsia="宋体" w:cs="宋体"/>
                <w:color w:val="auto"/>
                <w:sz w:val="24"/>
                <w:szCs w:val="24"/>
                <w:highlight w:val="none"/>
                <w:lang w:eastAsia="zh-CN"/>
              </w:rPr>
              <w:t>（元）</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sz w:val="24"/>
                <w:szCs w:val="32"/>
                <w:highlight w:val="none"/>
              </w:rPr>
              <w:t>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26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24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32"/>
                <w:highlight w:val="none"/>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263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评标价（</w:t>
            </w:r>
            <w:r>
              <w:rPr>
                <w:rFonts w:hint="eastAsia" w:ascii="宋体" w:hAnsi="宋体" w:eastAsia="宋体" w:cs="宋体"/>
                <w:sz w:val="24"/>
                <w:szCs w:val="24"/>
              </w:rPr>
              <w:t>投标总报价—安全文明施工措施费—规费—税金</w:t>
            </w:r>
            <w:r>
              <w:rPr>
                <w:rFonts w:hint="eastAsia" w:ascii="宋体" w:hAnsi="宋体" w:eastAsia="宋体" w:cs="宋体"/>
                <w:sz w:val="24"/>
                <w:szCs w:val="24"/>
                <w:highlight w:val="none"/>
              </w:rPr>
              <w:t>）（元）</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32"/>
                <w:highlight w:val="none"/>
              </w:rPr>
              <w:t>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26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240" w:lineRule="auto"/>
              <w:jc w:val="center"/>
              <w:rPr>
                <w:rFonts w:hint="eastAsia" w:ascii="宋体" w:hAnsi="宋体" w:eastAsia="宋体" w:cs="宋体"/>
                <w:color w:val="auto"/>
                <w:sz w:val="24"/>
                <w:szCs w:val="24"/>
                <w:highlight w:val="none"/>
              </w:rPr>
            </w:pP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32"/>
                <w:highlight w:val="none"/>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jc w:val="center"/>
        </w:trPr>
        <w:tc>
          <w:tcPr>
            <w:tcW w:w="84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w:t>
            </w:r>
          </w:p>
          <w:p>
            <w:pPr>
              <w:spacing w:beforeAutospacing="0" w:afterAutospacing="0"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w:t>
            </w: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4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32"/>
              </w:rPr>
              <w:t>安全文明施工措施费（元）</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sz w:val="24"/>
                <w:szCs w:val="32"/>
                <w:highlight w:val="none"/>
              </w:rPr>
              <w:t>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24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32"/>
                <w:highlight w:val="none"/>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sz w:val="24"/>
                <w:szCs w:val="32"/>
              </w:rPr>
              <w:t>规费（元）</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sz w:val="24"/>
                <w:szCs w:val="32"/>
                <w:highlight w:val="none"/>
              </w:rPr>
              <w:t>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24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32"/>
                <w:highlight w:val="none"/>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17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sz w:val="24"/>
                <w:szCs w:val="32"/>
              </w:rPr>
              <w:t>税金（元）</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sz w:val="24"/>
                <w:szCs w:val="32"/>
                <w:highlight w:val="none"/>
              </w:rPr>
              <w:t>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jc w:val="center"/>
        </w:trPr>
        <w:tc>
          <w:tcPr>
            <w:tcW w:w="84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178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240" w:lineRule="auto"/>
              <w:jc w:val="left"/>
              <w:rPr>
                <w:rFonts w:hint="eastAsia" w:ascii="宋体" w:hAnsi="宋体" w:eastAsia="宋体" w:cs="宋体"/>
                <w:color w:val="auto"/>
                <w:sz w:val="24"/>
                <w:szCs w:val="24"/>
                <w:highlight w:val="none"/>
              </w:rPr>
            </w:pPr>
            <w:r>
              <w:rPr>
                <w:rFonts w:hint="eastAsia" w:ascii="宋体" w:hAnsi="宋体" w:eastAsia="宋体" w:cs="宋体"/>
                <w:sz w:val="24"/>
                <w:szCs w:val="32"/>
                <w:highlight w:val="none"/>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投标质量</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pStyle w:val="12"/>
              <w:spacing w:before="0" w:beforeAutospacing="0" w:afterAutospacing="0" w:line="540" w:lineRule="exact"/>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投标工期</w:t>
            </w:r>
          </w:p>
          <w:p>
            <w:pPr>
              <w:spacing w:beforeAutospacing="0" w:afterAutospacing="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（日历天）</w:t>
            </w:r>
          </w:p>
        </w:tc>
        <w:tc>
          <w:tcPr>
            <w:tcW w:w="6605" w:type="dxa"/>
            <w:gridSpan w:val="3"/>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ind w:firstLine="480" w:firstLineChars="20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263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201"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姓名</w:t>
            </w:r>
          </w:p>
        </w:tc>
        <w:tc>
          <w:tcPr>
            <w:tcW w:w="2201"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执业资格等级</w:t>
            </w:r>
          </w:p>
        </w:tc>
        <w:tc>
          <w:tcPr>
            <w:tcW w:w="22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注册</w:t>
            </w:r>
            <w:r>
              <w:rPr>
                <w:rFonts w:hint="eastAsia" w:ascii="宋体" w:hAnsi="宋体" w:eastAsia="宋体" w:cs="宋体"/>
                <w:color w:val="auto"/>
                <w:sz w:val="24"/>
                <w:szCs w:val="24"/>
                <w:highlight w:val="none"/>
              </w:rPr>
              <w:t>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263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rPr>
                <w:rFonts w:hint="eastAsia" w:ascii="宋体" w:hAnsi="宋体" w:eastAsia="宋体" w:cs="宋体"/>
                <w:color w:val="auto"/>
                <w:sz w:val="24"/>
                <w:szCs w:val="24"/>
                <w:highlight w:val="none"/>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jc w:val="center"/>
              <w:rPr>
                <w:rFonts w:hint="eastAsia" w:ascii="宋体" w:hAnsi="宋体" w:eastAsia="宋体" w:cs="宋体"/>
                <w:color w:val="auto"/>
                <w:sz w:val="24"/>
                <w:szCs w:val="24"/>
                <w:highlight w:val="none"/>
              </w:rPr>
            </w:pPr>
          </w:p>
        </w:tc>
        <w:tc>
          <w:tcPr>
            <w:tcW w:w="22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540" w:lineRule="exact"/>
              <w:rPr>
                <w:rFonts w:hint="eastAsia" w:ascii="宋体" w:hAnsi="宋体" w:eastAsia="宋体" w:cs="宋体"/>
                <w:color w:val="auto"/>
                <w:sz w:val="24"/>
                <w:szCs w:val="24"/>
                <w:highlight w:val="none"/>
              </w:rPr>
            </w:pPr>
          </w:p>
        </w:tc>
      </w:tr>
    </w:tbl>
    <w:p>
      <w:pPr>
        <w:spacing w:before="240" w:beforeLines="100" w:beforeAutospacing="0" w:after="120" w:afterLines="50" w:afterAutospacing="0" w:line="510" w:lineRule="exact"/>
        <w:jc w:val="center"/>
        <w:rPr>
          <w:rFonts w:hint="eastAsia" w:ascii="宋体" w:hAnsi="宋体" w:eastAsia="宋体" w:cs="宋体"/>
          <w:color w:val="auto"/>
          <w:sz w:val="24"/>
          <w:highlight w:val="none"/>
        </w:rPr>
      </w:pPr>
    </w:p>
    <w:p>
      <w:pPr>
        <w:spacing w:beforeAutospacing="0" w:afterAutospacing="0" w:line="48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单位电子签章</w:t>
      </w:r>
      <w:r>
        <w:rPr>
          <w:rFonts w:hint="eastAsia" w:ascii="宋体" w:hAnsi="宋体" w:eastAsia="宋体" w:cs="宋体"/>
          <w:color w:val="auto"/>
          <w:sz w:val="24"/>
          <w:szCs w:val="24"/>
          <w:highlight w:val="none"/>
        </w:rPr>
        <w:t>）</w:t>
      </w:r>
    </w:p>
    <w:p>
      <w:pPr>
        <w:spacing w:beforeAutospacing="0" w:afterAutospacing="0" w:line="48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电子签名或盖章</w:t>
      </w:r>
      <w:r>
        <w:rPr>
          <w:rFonts w:hint="eastAsia" w:ascii="宋体" w:hAnsi="宋体" w:eastAsia="宋体" w:cs="宋体"/>
          <w:color w:val="auto"/>
          <w:sz w:val="24"/>
          <w:szCs w:val="24"/>
          <w:highlight w:val="none"/>
        </w:rPr>
        <w:t>）</w:t>
      </w:r>
    </w:p>
    <w:p>
      <w:pPr>
        <w:spacing w:beforeAutospacing="0" w:afterAutospacing="0" w:line="48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0"/>
        </w:numPr>
        <w:jc w:val="center"/>
        <w:outlineLvl w:val="1"/>
        <w:rPr>
          <w:rFonts w:hint="eastAsia" w:ascii="宋体" w:hAnsi="宋体" w:eastAsia="宋体" w:cs="宋体"/>
          <w:b/>
          <w:bCs/>
          <w:color w:val="auto"/>
          <w:sz w:val="28"/>
          <w:szCs w:val="28"/>
          <w:highlight w:val="none"/>
          <w:lang w:eastAsia="zh-CN"/>
        </w:rPr>
      </w:pPr>
      <w:bookmarkStart w:id="1342" w:name="_Toc15818"/>
      <w:bookmarkEnd w:id="1342"/>
      <w:bookmarkStart w:id="1343" w:name="_Toc25592"/>
      <w:bookmarkEnd w:id="1343"/>
      <w:bookmarkStart w:id="1344" w:name="_Toc516822666"/>
      <w:bookmarkEnd w:id="1344"/>
      <w:bookmarkStart w:id="1345" w:name="_Toc14692"/>
      <w:r>
        <w:rPr>
          <w:rFonts w:hint="eastAsia" w:ascii="宋体" w:hAnsi="宋体" w:eastAsia="宋体" w:cs="宋体"/>
          <w:b/>
          <w:bCs/>
          <w:color w:val="auto"/>
          <w:sz w:val="28"/>
          <w:szCs w:val="28"/>
          <w:highlight w:val="none"/>
          <w:lang w:eastAsia="zh-CN"/>
        </w:rPr>
        <w:t>二、法定代表人身份证明</w:t>
      </w:r>
      <w:bookmarkEnd w:id="1345"/>
    </w:p>
    <w:p>
      <w:pPr>
        <w:pStyle w:val="2"/>
        <w:rPr>
          <w:rFonts w:hint="eastAsia" w:ascii="宋体" w:hAnsi="宋体" w:eastAsia="宋体" w:cs="宋体"/>
          <w:color w:val="auto"/>
          <w:highlight w:val="none"/>
        </w:rPr>
      </w:pP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投标供应商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  别：</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投标供应商</w:t>
      </w:r>
      <w:r>
        <w:rPr>
          <w:rFonts w:hint="eastAsia" w:ascii="宋体" w:hAnsi="宋体" w:eastAsia="宋体" w:cs="宋体"/>
          <w:color w:val="auto"/>
          <w:sz w:val="24"/>
          <w:szCs w:val="24"/>
          <w:highlight w:val="none"/>
        </w:rPr>
        <w:t>名称）的法定代表人。</w:t>
      </w: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keepNext w:val="0"/>
        <w:keepLines w:val="0"/>
        <w:pageBreakBefore w:val="0"/>
        <w:widowControl w:val="0"/>
        <w:kinsoku/>
        <w:overflowPunct/>
        <w:topLinePunct w:val="0"/>
        <w:bidi w:val="0"/>
        <w:adjustRightInd/>
        <w:spacing w:beforeAutospacing="0" w:afterAutospacing="0" w:line="500" w:lineRule="exact"/>
        <w:ind w:left="0" w:leftChars="0" w:firstLine="420" w:firstLineChars="175"/>
        <w:textAlignment w:val="auto"/>
        <w:rPr>
          <w:rFonts w:hint="eastAsia" w:ascii="宋体" w:hAnsi="宋体" w:eastAsia="宋体" w:cs="宋体"/>
          <w:color w:val="auto"/>
          <w:sz w:val="24"/>
          <w:szCs w:val="24"/>
          <w:highlight w:val="none"/>
        </w:rPr>
      </w:pPr>
    </w:p>
    <w:p>
      <w:pPr>
        <w:keepNext w:val="0"/>
        <w:keepLines w:val="0"/>
        <w:pageBreakBefore w:val="0"/>
        <w:widowControl w:val="0"/>
        <w:kinsoku/>
        <w:overflowPunct/>
        <w:topLinePunct w:val="0"/>
        <w:bidi w:val="0"/>
        <w:adjustRightInd/>
        <w:spacing w:beforeAutospacing="0" w:afterAutospacing="0" w:line="5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bidi w:val="0"/>
        <w:adjustRightInd/>
        <w:spacing w:beforeAutospacing="0" w:afterAutospacing="0"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单位电子签章</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bidi w:val="0"/>
        <w:adjustRightInd/>
        <w:spacing w:beforeAutospacing="0" w:afterAutospacing="0"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Style w:val="2"/>
        <w:jc w:val="center"/>
        <w:outlineLvl w:val="2"/>
        <w:rPr>
          <w:rFonts w:hint="eastAsia" w:ascii="宋体" w:hAnsi="宋体" w:eastAsia="宋体" w:cs="宋体"/>
          <w:color w:val="auto"/>
          <w:sz w:val="24"/>
          <w:szCs w:val="24"/>
          <w:highlight w:val="none"/>
        </w:rPr>
      </w:pPr>
      <w:bookmarkStart w:id="1346" w:name="_Toc12178"/>
      <w:bookmarkEnd w:id="1346"/>
      <w:bookmarkStart w:id="1347" w:name="_Toc516822668"/>
      <w:bookmarkEnd w:id="1347"/>
      <w:bookmarkStart w:id="1348" w:name="_Toc25998"/>
      <w:bookmarkEnd w:id="1348"/>
      <w:r>
        <w:rPr>
          <w:rFonts w:hint="eastAsia" w:ascii="宋体" w:hAnsi="宋体" w:eastAsia="宋体" w:cs="宋体"/>
          <w:color w:val="auto"/>
          <w:highlight w:val="none"/>
        </w:rPr>
        <w:br w:type="page"/>
      </w:r>
      <w:bookmarkStart w:id="1349" w:name="_Toc31172"/>
      <w:r>
        <w:rPr>
          <w:rFonts w:hint="eastAsia" w:ascii="宋体" w:hAnsi="宋体" w:eastAsia="宋体" w:cs="宋体"/>
          <w:b/>
          <w:bCs/>
          <w:color w:val="auto"/>
          <w:kern w:val="2"/>
          <w:sz w:val="28"/>
          <w:szCs w:val="28"/>
          <w:highlight w:val="none"/>
          <w:lang w:val="en-US" w:eastAsia="zh-CN" w:bidi="ar-SA"/>
        </w:rPr>
        <w:t>三、授权委托书</w:t>
      </w:r>
      <w:bookmarkEnd w:id="1349"/>
    </w:p>
    <w:p>
      <w:pPr>
        <w:spacing w:beforeAutospacing="0" w:afterAutospacing="0" w:line="500" w:lineRule="exact"/>
        <w:ind w:firstLine="420" w:firstLineChars="200"/>
        <w:rPr>
          <w:rFonts w:hint="eastAsia" w:ascii="宋体" w:hAnsi="宋体" w:eastAsia="宋体" w:cs="宋体"/>
          <w:color w:val="auto"/>
          <w:szCs w:val="21"/>
          <w:highlight w:val="none"/>
        </w:rPr>
      </w:pPr>
    </w:p>
    <w:p>
      <w:pPr>
        <w:spacing w:beforeAutospacing="0" w:afterAutospacing="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投标供应商</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标段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投标文件、签订合同和处理有关事宜，其法律后果由我方承担。</w:t>
      </w:r>
    </w:p>
    <w:p>
      <w:pPr>
        <w:spacing w:before="240" w:beforeLines="100" w:beforeAutospacing="0" w:after="240" w:afterLines="100" w:afterAutospacing="0" w:line="500" w:lineRule="exact"/>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 xml:space="preserve">委托期限： </w:t>
      </w:r>
      <w:r>
        <w:rPr>
          <w:rFonts w:hint="eastAsia" w:ascii="宋体" w:hAnsi="宋体" w:eastAsia="宋体" w:cs="宋体"/>
          <w:b w:val="0"/>
          <w:bCs w:val="0"/>
          <w:color w:val="auto"/>
          <w:sz w:val="24"/>
          <w:szCs w:val="24"/>
          <w:highlight w:val="none"/>
          <w:u w:val="single"/>
        </w:rPr>
        <w:t xml:space="preserve">  本授权书至投标有效期结束前始终有效。</w:t>
      </w:r>
    </w:p>
    <w:p>
      <w:pPr>
        <w:spacing w:before="240" w:beforeLines="100" w:beforeAutospacing="0" w:after="240" w:afterLines="100" w:afterAutospacing="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spacing w:beforeAutospacing="0" w:after="240" w:afterLines="100" w:afterAutospacing="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w:t>
      </w:r>
      <w:r>
        <w:rPr>
          <w:rFonts w:hint="eastAsia" w:ascii="宋体" w:hAnsi="宋体" w:eastAsia="宋体" w:cs="宋体"/>
          <w:color w:val="auto"/>
          <w:sz w:val="24"/>
          <w:szCs w:val="24"/>
          <w:highlight w:val="none"/>
          <w:lang w:val="en-US" w:eastAsia="zh-CN"/>
        </w:rPr>
        <w:t>及委托代理人</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lang w:val="en-US" w:eastAsia="zh-CN"/>
        </w:rPr>
        <w:t>正反</w:t>
      </w:r>
      <w:r>
        <w:rPr>
          <w:rFonts w:hint="eastAsia" w:ascii="宋体" w:hAnsi="宋体" w:eastAsia="宋体" w:cs="宋体"/>
          <w:color w:val="auto"/>
          <w:sz w:val="24"/>
          <w:szCs w:val="24"/>
          <w:highlight w:val="none"/>
        </w:rPr>
        <w:t>扫描件</w:t>
      </w:r>
    </w:p>
    <w:p>
      <w:pPr>
        <w:spacing w:beforeAutospacing="0" w:afterAutospacing="0" w:line="500" w:lineRule="exact"/>
        <w:rPr>
          <w:rFonts w:hint="eastAsia" w:ascii="宋体" w:hAnsi="宋体" w:eastAsia="宋体" w:cs="宋体"/>
          <w:color w:val="auto"/>
          <w:sz w:val="24"/>
          <w:szCs w:val="24"/>
          <w:highlight w:val="none"/>
        </w:rPr>
      </w:pPr>
      <w:bookmarkStart w:id="1431" w:name="_GoBack"/>
      <w:bookmarkEnd w:id="1431"/>
    </w:p>
    <w:p>
      <w:pPr>
        <w:keepNext w:val="0"/>
        <w:keepLines w:val="0"/>
        <w:pageBreakBefore w:val="0"/>
        <w:widowControl w:val="0"/>
        <w:kinsoku/>
        <w:overflowPunct/>
        <w:topLinePunct w:val="0"/>
        <w:bidi w:val="0"/>
        <w:adjustRightInd/>
        <w:spacing w:beforeAutospacing="0" w:afterAutospacing="0" w:line="500" w:lineRule="exact"/>
        <w:ind w:firstLine="4320" w:firstLineChars="18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投标供应商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单位电子签章</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bidi w:val="0"/>
        <w:adjustRightInd/>
        <w:spacing w:beforeAutospacing="0" w:afterAutospacing="0" w:line="500" w:lineRule="exact"/>
        <w:ind w:firstLine="4320" w:firstLine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电子签名或盖章</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bidi w:val="0"/>
        <w:adjustRightInd/>
        <w:spacing w:beforeAutospacing="0" w:afterAutospacing="0" w:line="500" w:lineRule="exact"/>
        <w:ind w:firstLine="4320" w:firstLineChars="18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overflowPunct/>
        <w:topLinePunct w:val="0"/>
        <w:bidi w:val="0"/>
        <w:adjustRightInd/>
        <w:spacing w:beforeAutospacing="0" w:afterAutospacing="0" w:line="500" w:lineRule="exact"/>
        <w:ind w:firstLine="4320" w:firstLine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bidi w:val="0"/>
        <w:adjustRightInd/>
        <w:spacing w:beforeAutospacing="0" w:afterAutospacing="0" w:line="500" w:lineRule="exact"/>
        <w:ind w:firstLine="4320" w:firstLineChars="18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overflowPunct/>
        <w:topLinePunct w:val="0"/>
        <w:bidi w:val="0"/>
        <w:adjustRightInd/>
        <w:spacing w:beforeAutospacing="0" w:afterAutospacing="0" w:line="500" w:lineRule="exact"/>
        <w:ind w:firstLine="4800" w:firstLine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color w:val="auto"/>
          <w:highlight w:val="none"/>
        </w:rPr>
      </w:pPr>
    </w:p>
    <w:p>
      <w:pPr>
        <w:spacing w:before="240" w:beforeLines="100" w:beforeAutospacing="0" w:after="120" w:afterLines="50" w:afterAutospacing="0" w:line="510" w:lineRule="exact"/>
        <w:rPr>
          <w:rFonts w:hint="eastAsia" w:ascii="宋体" w:hAnsi="宋体" w:eastAsia="宋体" w:cs="宋体"/>
          <w:color w:val="auto"/>
          <w:sz w:val="28"/>
          <w:szCs w:val="28"/>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pStyle w:val="5"/>
        <w:jc w:val="center"/>
        <w:outlineLvl w:val="1"/>
        <w:rPr>
          <w:rFonts w:hint="eastAsia" w:ascii="宋体" w:hAnsi="宋体" w:eastAsia="宋体" w:cs="宋体"/>
          <w:color w:val="auto"/>
          <w:sz w:val="28"/>
          <w:szCs w:val="28"/>
          <w:highlight w:val="none"/>
          <w:lang w:eastAsia="zh-CN"/>
        </w:rPr>
        <w:sectPr>
          <w:pgSz w:w="11906" w:h="16838"/>
          <w:pgMar w:top="1418" w:right="1417" w:bottom="1417" w:left="1417" w:header="851" w:footer="851" w:gutter="0"/>
          <w:pgNumType w:fmt="decimal"/>
          <w:cols w:space="720" w:num="1"/>
          <w:docGrid w:linePitch="312" w:charSpace="0"/>
        </w:sectPr>
      </w:pPr>
      <w:bookmarkStart w:id="1350" w:name="_Toc516822670"/>
      <w:bookmarkStart w:id="1351" w:name="_Toc16463"/>
      <w:bookmarkStart w:id="1352" w:name="_Toc15047"/>
    </w:p>
    <w:bookmarkEnd w:id="1350"/>
    <w:bookmarkEnd w:id="1351"/>
    <w:bookmarkEnd w:id="1352"/>
    <w:p>
      <w:pPr>
        <w:pStyle w:val="5"/>
        <w:jc w:val="center"/>
        <w:outlineLvl w:val="1"/>
        <w:rPr>
          <w:rFonts w:hint="eastAsia" w:ascii="宋体" w:hAnsi="宋体" w:eastAsia="宋体" w:cs="宋体"/>
          <w:color w:val="auto"/>
          <w:sz w:val="28"/>
          <w:szCs w:val="28"/>
          <w:highlight w:val="none"/>
        </w:rPr>
      </w:pPr>
      <w:bookmarkStart w:id="1353" w:name="_Toc25265"/>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已标价工程量清单</w:t>
      </w:r>
      <w:bookmarkEnd w:id="1353"/>
    </w:p>
    <w:p>
      <w:pPr>
        <w:keepNext w:val="0"/>
        <w:keepLines w:val="0"/>
        <w:pageBreakBefore w:val="0"/>
        <w:widowControl w:val="0"/>
        <w:kinsoku/>
        <w:overflowPunct/>
        <w:topLinePunct w:val="0"/>
        <w:bidi w:val="0"/>
        <w:adjustRightInd/>
        <w:spacing w:beforeAutospacing="0" w:afterAutospacing="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说明：已标价工程量清单按第五章“工程量清单”中的相应要求填写。构成合同文件的已标价工程量清单包括第五章“工程量清单”有关工程量清单、投标报价以及其他说明的内容。</w:t>
      </w:r>
    </w:p>
    <w:p>
      <w:pPr>
        <w:spacing w:beforeAutospacing="0" w:afterAutospacing="0" w:line="460" w:lineRule="exact"/>
        <w:rPr>
          <w:rFonts w:hint="eastAsia" w:ascii="宋体" w:hAnsi="宋体" w:eastAsia="宋体" w:cs="宋体"/>
          <w:color w:val="auto"/>
          <w:szCs w:val="21"/>
          <w:highlight w:val="none"/>
        </w:rPr>
      </w:pPr>
    </w:p>
    <w:p>
      <w:pPr>
        <w:spacing w:beforeAutospacing="0" w:afterAutospacing="0" w:line="460" w:lineRule="exact"/>
        <w:rPr>
          <w:rFonts w:hint="eastAsia" w:ascii="宋体" w:hAnsi="宋体" w:eastAsia="宋体" w:cs="宋体"/>
          <w:color w:val="auto"/>
          <w:szCs w:val="21"/>
          <w:highlight w:val="none"/>
        </w:rPr>
      </w:pPr>
    </w:p>
    <w:p>
      <w:pPr>
        <w:spacing w:before="240" w:beforeLines="100" w:beforeAutospacing="0" w:after="120" w:afterLines="50" w:afterAutospacing="0" w:line="510" w:lineRule="exact"/>
        <w:rPr>
          <w:rFonts w:hint="eastAsia" w:ascii="宋体" w:hAnsi="宋体" w:eastAsia="宋体" w:cs="宋体"/>
          <w:color w:val="auto"/>
          <w:sz w:val="28"/>
          <w:szCs w:val="28"/>
          <w:highlight w:val="none"/>
        </w:rPr>
      </w:pPr>
    </w:p>
    <w:p>
      <w:pPr>
        <w:spacing w:before="240" w:beforeLines="100" w:beforeAutospacing="0" w:after="120" w:afterLines="50" w:afterAutospacing="0" w:line="510" w:lineRule="exact"/>
        <w:rPr>
          <w:rFonts w:hint="eastAsia" w:ascii="宋体" w:hAnsi="宋体" w:eastAsia="宋体" w:cs="宋体"/>
          <w:color w:val="auto"/>
          <w:sz w:val="28"/>
          <w:szCs w:val="28"/>
          <w:highlight w:val="none"/>
        </w:rPr>
      </w:pPr>
    </w:p>
    <w:p>
      <w:pPr>
        <w:spacing w:before="240" w:beforeLines="100" w:beforeAutospacing="0" w:after="120" w:afterLines="50" w:afterAutospacing="0" w:line="510" w:lineRule="exact"/>
        <w:rPr>
          <w:rFonts w:hint="eastAsia" w:ascii="宋体" w:hAnsi="宋体" w:eastAsia="宋体" w:cs="宋体"/>
          <w:color w:val="auto"/>
          <w:sz w:val="28"/>
          <w:szCs w:val="28"/>
          <w:highlight w:val="none"/>
        </w:rPr>
      </w:pPr>
    </w:p>
    <w:p>
      <w:pPr>
        <w:spacing w:before="240" w:beforeLines="100" w:beforeAutospacing="0" w:after="120" w:afterLines="50" w:afterAutospacing="0" w:line="510" w:lineRule="exact"/>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5"/>
        <w:jc w:val="center"/>
        <w:outlineLvl w:val="1"/>
        <w:rPr>
          <w:rFonts w:hint="eastAsia" w:ascii="宋体" w:hAnsi="宋体" w:eastAsia="宋体" w:cs="宋体"/>
          <w:b/>
          <w:bCs/>
          <w:color w:val="auto"/>
          <w:sz w:val="28"/>
          <w:szCs w:val="28"/>
          <w:highlight w:val="none"/>
          <w:lang w:eastAsia="zh-CN"/>
        </w:rPr>
      </w:pPr>
      <w:bookmarkStart w:id="1354" w:name="_Toc1322"/>
      <w:bookmarkEnd w:id="1354"/>
      <w:bookmarkStart w:id="1355" w:name="_Toc516822672"/>
      <w:bookmarkEnd w:id="1355"/>
      <w:bookmarkStart w:id="1356" w:name="_Toc9625"/>
      <w:bookmarkEnd w:id="1356"/>
      <w:bookmarkStart w:id="1357" w:name="_Toc2287"/>
      <w:r>
        <w:rPr>
          <w:rFonts w:hint="eastAsia" w:ascii="宋体" w:hAnsi="宋体" w:eastAsia="宋体" w:cs="宋体"/>
          <w:b/>
          <w:bCs/>
          <w:color w:val="auto"/>
          <w:sz w:val="28"/>
          <w:szCs w:val="28"/>
          <w:highlight w:val="none"/>
          <w:lang w:eastAsia="zh-CN"/>
        </w:rPr>
        <w:t>五、施工组织设计</w:t>
      </w:r>
      <w:bookmarkEnd w:id="1357"/>
    </w:p>
    <w:p>
      <w:pPr>
        <w:keepNext w:val="0"/>
        <w:keepLines w:val="0"/>
        <w:pageBreakBefore w:val="0"/>
        <w:widowControl w:val="0"/>
        <w:kinsoku/>
        <w:overflowPunct/>
        <w:topLinePunct w:val="0"/>
        <w:bidi w:val="0"/>
        <w:adjustRightInd/>
        <w:spacing w:beforeAutospacing="0" w:afterAutospacing="0" w:line="5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1．投标人应根据招标文件和对现场的勘察情况，采用文字并结合图表形式，按照招标文件“第三章 评标办法”编制本工程的施工组织设计</w:t>
      </w:r>
      <w:r>
        <w:rPr>
          <w:rFonts w:hint="eastAsia" w:ascii="宋体" w:hAnsi="宋体" w:cs="宋体"/>
          <w:color w:val="auto"/>
          <w:sz w:val="24"/>
          <w:szCs w:val="24"/>
          <w:highlight w:val="none"/>
          <w:lang w:eastAsia="zh-CN"/>
        </w:rPr>
        <w:t>。</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2．施工组织设计除采用文字表述外可附下列图表，图表及格式要求附后。若采用技术暗标评审，则下述表格应按照章节内容，严格按给定的格式附在相应的章节中。</w:t>
      </w:r>
    </w:p>
    <w:p>
      <w:pPr>
        <w:keepNext w:val="0"/>
        <w:keepLines w:val="0"/>
        <w:pageBreakBefore w:val="0"/>
        <w:widowControl w:val="0"/>
        <w:kinsoku/>
        <w:overflowPunct/>
        <w:topLinePunct w:val="0"/>
        <w:bidi w:val="0"/>
        <w:adjustRightInd/>
        <w:spacing w:beforeAutospacing="0" w:afterAutospacing="0" w:line="50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  拟投入本工程的主要施工设备表</w:t>
      </w:r>
    </w:p>
    <w:p>
      <w:pPr>
        <w:keepNext w:val="0"/>
        <w:keepLines w:val="0"/>
        <w:pageBreakBefore w:val="0"/>
        <w:widowControl w:val="0"/>
        <w:kinsoku/>
        <w:overflowPunct/>
        <w:topLinePunct w:val="0"/>
        <w:bidi w:val="0"/>
        <w:adjustRightInd/>
        <w:spacing w:beforeAutospacing="0" w:afterAutospacing="0" w:line="50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  拟配备本工程的试验和检测仪器设备表</w:t>
      </w:r>
    </w:p>
    <w:p>
      <w:pPr>
        <w:keepNext w:val="0"/>
        <w:keepLines w:val="0"/>
        <w:pageBreakBefore w:val="0"/>
        <w:widowControl w:val="0"/>
        <w:kinsoku/>
        <w:overflowPunct/>
        <w:topLinePunct w:val="0"/>
        <w:bidi w:val="0"/>
        <w:adjustRightInd/>
        <w:spacing w:beforeAutospacing="0" w:afterAutospacing="0" w:line="50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  劳动力计划表</w:t>
      </w:r>
    </w:p>
    <w:p>
      <w:pPr>
        <w:keepNext w:val="0"/>
        <w:keepLines w:val="0"/>
        <w:pageBreakBefore w:val="0"/>
        <w:widowControl w:val="0"/>
        <w:kinsoku/>
        <w:overflowPunct/>
        <w:topLinePunct w:val="0"/>
        <w:bidi w:val="0"/>
        <w:adjustRightInd/>
        <w:spacing w:beforeAutospacing="0" w:afterAutospacing="0" w:line="500" w:lineRule="exact"/>
        <w:ind w:left="0" w:leftChars="0"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附表四  计划开、竣工日期和施工进度</w:t>
      </w:r>
      <w:r>
        <w:rPr>
          <w:rFonts w:hint="eastAsia" w:ascii="宋体" w:hAnsi="宋体" w:eastAsia="宋体" w:cs="宋体"/>
          <w:color w:val="auto"/>
          <w:sz w:val="24"/>
          <w:szCs w:val="24"/>
          <w:highlight w:val="none"/>
          <w:lang w:eastAsia="zh-CN"/>
        </w:rPr>
        <w:t>表</w:t>
      </w:r>
    </w:p>
    <w:p>
      <w:pPr>
        <w:keepNext w:val="0"/>
        <w:keepLines w:val="0"/>
        <w:pageBreakBefore w:val="0"/>
        <w:widowControl w:val="0"/>
        <w:kinsoku/>
        <w:overflowPunct/>
        <w:topLinePunct w:val="0"/>
        <w:bidi w:val="0"/>
        <w:adjustRightInd/>
        <w:spacing w:beforeAutospacing="0" w:afterAutospacing="0" w:line="50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附表五  施工总平面图</w:t>
      </w:r>
    </w:p>
    <w:p>
      <w:pPr>
        <w:keepNext w:val="0"/>
        <w:keepLines w:val="0"/>
        <w:pageBreakBefore w:val="0"/>
        <w:widowControl w:val="0"/>
        <w:kinsoku/>
        <w:overflowPunct/>
        <w:topLinePunct w:val="0"/>
        <w:bidi w:val="0"/>
        <w:adjustRightInd/>
        <w:spacing w:beforeAutospacing="0" w:afterAutospacing="0" w:line="500" w:lineRule="exact"/>
        <w:ind w:left="0" w:leftChars="0"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附表六  临时用地表</w:t>
      </w:r>
    </w:p>
    <w:p>
      <w:pPr>
        <w:spacing w:beforeAutospacing="0" w:afterAutospacing="0" w:line="420" w:lineRule="exact"/>
        <w:ind w:firstLine="420" w:firstLineChars="200"/>
        <w:rPr>
          <w:rFonts w:hint="eastAsia" w:ascii="宋体" w:hAnsi="宋体" w:eastAsia="宋体" w:cs="宋体"/>
          <w:color w:val="auto"/>
          <w:szCs w:val="21"/>
          <w:highlight w:val="none"/>
        </w:rPr>
      </w:pPr>
    </w:p>
    <w:p>
      <w:pPr>
        <w:spacing w:beforeAutospacing="0" w:afterAutospacing="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附表一：拟投入本工程的主要施工设备表</w:t>
      </w:r>
    </w:p>
    <w:tbl>
      <w:tblPr>
        <w:tblStyle w:val="26"/>
        <w:tblW w:w="901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64"/>
        <w:gridCol w:w="858"/>
        <w:gridCol w:w="836"/>
        <w:gridCol w:w="709"/>
        <w:gridCol w:w="709"/>
        <w:gridCol w:w="1176"/>
        <w:gridCol w:w="872"/>
        <w:gridCol w:w="109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83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09"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709"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17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（KW）</w:t>
            </w:r>
          </w:p>
        </w:tc>
        <w:tc>
          <w:tcPr>
            <w:tcW w:w="872"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109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用于施</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工部位</w:t>
            </w:r>
          </w:p>
        </w:tc>
        <w:tc>
          <w:tcPr>
            <w:tcW w:w="82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8" w:type="dxa"/>
            <w:noWrap w:val="0"/>
            <w:vAlign w:val="center"/>
          </w:tcPr>
          <w:p>
            <w:pPr>
              <w:jc w:val="center"/>
              <w:rPr>
                <w:rFonts w:hint="eastAsia" w:ascii="宋体" w:hAnsi="宋体" w:eastAsia="宋体" w:cs="宋体"/>
                <w:color w:val="auto"/>
                <w:szCs w:val="21"/>
                <w:highlight w:val="none"/>
              </w:rPr>
            </w:pPr>
          </w:p>
        </w:tc>
        <w:tc>
          <w:tcPr>
            <w:tcW w:w="1064" w:type="dxa"/>
            <w:noWrap w:val="0"/>
            <w:vAlign w:val="center"/>
          </w:tcPr>
          <w:p>
            <w:pPr>
              <w:jc w:val="center"/>
              <w:rPr>
                <w:rFonts w:hint="eastAsia" w:ascii="宋体" w:hAnsi="宋体" w:eastAsia="宋体" w:cs="宋体"/>
                <w:color w:val="auto"/>
                <w:szCs w:val="21"/>
                <w:highlight w:val="none"/>
              </w:rPr>
            </w:pPr>
          </w:p>
        </w:tc>
        <w:tc>
          <w:tcPr>
            <w:tcW w:w="858" w:type="dxa"/>
            <w:noWrap w:val="0"/>
            <w:vAlign w:val="center"/>
          </w:tcPr>
          <w:p>
            <w:pPr>
              <w:jc w:val="center"/>
              <w:rPr>
                <w:rFonts w:hint="eastAsia" w:ascii="宋体" w:hAnsi="宋体" w:eastAsia="宋体" w:cs="宋体"/>
                <w:color w:val="auto"/>
                <w:szCs w:val="21"/>
                <w:highlight w:val="none"/>
              </w:rPr>
            </w:pPr>
          </w:p>
        </w:tc>
        <w:tc>
          <w:tcPr>
            <w:tcW w:w="836"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709" w:type="dxa"/>
            <w:noWrap w:val="0"/>
            <w:vAlign w:val="center"/>
          </w:tcPr>
          <w:p>
            <w:pPr>
              <w:jc w:val="center"/>
              <w:rPr>
                <w:rFonts w:hint="eastAsia" w:ascii="宋体" w:hAnsi="宋体" w:eastAsia="宋体" w:cs="宋体"/>
                <w:color w:val="auto"/>
                <w:szCs w:val="21"/>
                <w:highlight w:val="none"/>
              </w:rPr>
            </w:pPr>
          </w:p>
        </w:tc>
        <w:tc>
          <w:tcPr>
            <w:tcW w:w="1176" w:type="dxa"/>
            <w:noWrap w:val="0"/>
            <w:vAlign w:val="center"/>
          </w:tcPr>
          <w:p>
            <w:pPr>
              <w:jc w:val="center"/>
              <w:rPr>
                <w:rFonts w:hint="eastAsia" w:ascii="宋体" w:hAnsi="宋体" w:eastAsia="宋体" w:cs="宋体"/>
                <w:color w:val="auto"/>
                <w:szCs w:val="21"/>
                <w:highlight w:val="none"/>
              </w:rPr>
            </w:pPr>
          </w:p>
        </w:tc>
        <w:tc>
          <w:tcPr>
            <w:tcW w:w="872" w:type="dxa"/>
            <w:noWrap w:val="0"/>
            <w:vAlign w:val="center"/>
          </w:tcPr>
          <w:p>
            <w:pPr>
              <w:jc w:val="center"/>
              <w:rPr>
                <w:rFonts w:hint="eastAsia" w:ascii="宋体" w:hAnsi="宋体" w:eastAsia="宋体" w:cs="宋体"/>
                <w:color w:val="auto"/>
                <w:szCs w:val="21"/>
                <w:highlight w:val="none"/>
              </w:rPr>
            </w:pPr>
          </w:p>
        </w:tc>
        <w:tc>
          <w:tcPr>
            <w:tcW w:w="1098"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r>
    </w:tbl>
    <w:p>
      <w:pPr>
        <w:spacing w:beforeAutospacing="0" w:afterAutospacing="0" w:line="420" w:lineRule="exact"/>
        <w:rPr>
          <w:rFonts w:hint="eastAsia" w:ascii="宋体" w:hAnsi="宋体" w:eastAsia="宋体" w:cs="宋体"/>
          <w:color w:val="auto"/>
          <w:szCs w:val="21"/>
          <w:highlight w:val="none"/>
        </w:rPr>
      </w:pPr>
    </w:p>
    <w:p>
      <w:pPr>
        <w:spacing w:before="120" w:beforeLines="50" w:beforeAutospacing="0" w:after="240" w:afterLines="100" w:afterAutospacing="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附表二：拟配备本工程的试验和检测仪器设备表</w:t>
      </w:r>
    </w:p>
    <w:tbl>
      <w:tblPr>
        <w:tblStyle w:val="26"/>
        <w:tblW w:w="0" w:type="auto"/>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95"/>
        <w:gridCol w:w="1005"/>
        <w:gridCol w:w="870"/>
        <w:gridCol w:w="825"/>
        <w:gridCol w:w="705"/>
        <w:gridCol w:w="1395"/>
        <w:gridCol w:w="9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仪器设备名称</w:t>
            </w:r>
          </w:p>
        </w:tc>
        <w:tc>
          <w:tcPr>
            <w:tcW w:w="100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87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2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70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39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已使用台</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数</w:t>
            </w:r>
          </w:p>
        </w:tc>
        <w:tc>
          <w:tcPr>
            <w:tcW w:w="98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85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1005" w:type="dxa"/>
            <w:noWrap w:val="0"/>
            <w:vAlign w:val="center"/>
          </w:tcPr>
          <w:p>
            <w:pPr>
              <w:jc w:val="center"/>
              <w:rPr>
                <w:rFonts w:hint="eastAsia" w:ascii="宋体" w:hAnsi="宋体" w:eastAsia="宋体" w:cs="宋体"/>
                <w:color w:val="auto"/>
                <w:szCs w:val="21"/>
                <w:highlight w:val="none"/>
              </w:rPr>
            </w:pPr>
          </w:p>
        </w:tc>
        <w:tc>
          <w:tcPr>
            <w:tcW w:w="870" w:type="dxa"/>
            <w:noWrap w:val="0"/>
            <w:vAlign w:val="center"/>
          </w:tcPr>
          <w:p>
            <w:pPr>
              <w:jc w:val="center"/>
              <w:rPr>
                <w:rFonts w:hint="eastAsia" w:ascii="宋体" w:hAnsi="宋体" w:eastAsia="宋体" w:cs="宋体"/>
                <w:color w:val="auto"/>
                <w:szCs w:val="21"/>
                <w:highlight w:val="none"/>
              </w:rPr>
            </w:pPr>
          </w:p>
        </w:tc>
        <w:tc>
          <w:tcPr>
            <w:tcW w:w="825" w:type="dxa"/>
            <w:noWrap w:val="0"/>
            <w:vAlign w:val="center"/>
          </w:tcPr>
          <w:p>
            <w:pPr>
              <w:jc w:val="center"/>
              <w:rPr>
                <w:rFonts w:hint="eastAsia" w:ascii="宋体" w:hAnsi="宋体" w:eastAsia="宋体" w:cs="宋体"/>
                <w:color w:val="auto"/>
                <w:szCs w:val="21"/>
                <w:highlight w:val="none"/>
              </w:rPr>
            </w:pPr>
          </w:p>
        </w:tc>
        <w:tc>
          <w:tcPr>
            <w:tcW w:w="705" w:type="dxa"/>
            <w:noWrap w:val="0"/>
            <w:vAlign w:val="center"/>
          </w:tcPr>
          <w:p>
            <w:pPr>
              <w:jc w:val="center"/>
              <w:rPr>
                <w:rFonts w:hint="eastAsia" w:ascii="宋体" w:hAnsi="宋体" w:eastAsia="宋体" w:cs="宋体"/>
                <w:color w:val="auto"/>
                <w:szCs w:val="21"/>
                <w:highlight w:val="none"/>
              </w:rPr>
            </w:pPr>
          </w:p>
        </w:tc>
        <w:tc>
          <w:tcPr>
            <w:tcW w:w="1395" w:type="dxa"/>
            <w:noWrap w:val="0"/>
            <w:vAlign w:val="center"/>
          </w:tcPr>
          <w:p>
            <w:pPr>
              <w:jc w:val="center"/>
              <w:rPr>
                <w:rFonts w:hint="eastAsia" w:ascii="宋体" w:hAnsi="宋体" w:eastAsia="宋体" w:cs="宋体"/>
                <w:color w:val="auto"/>
                <w:szCs w:val="21"/>
                <w:highlight w:val="none"/>
              </w:rPr>
            </w:pPr>
          </w:p>
        </w:tc>
        <w:tc>
          <w:tcPr>
            <w:tcW w:w="988" w:type="dxa"/>
            <w:noWrap w:val="0"/>
            <w:vAlign w:val="center"/>
          </w:tcPr>
          <w:p>
            <w:pPr>
              <w:jc w:val="center"/>
              <w:rPr>
                <w:rFonts w:hint="eastAsia" w:ascii="宋体" w:hAnsi="宋体" w:eastAsia="宋体" w:cs="宋体"/>
                <w:color w:val="auto"/>
                <w:szCs w:val="21"/>
                <w:highlight w:val="none"/>
              </w:rPr>
            </w:pPr>
          </w:p>
        </w:tc>
        <w:tc>
          <w:tcPr>
            <w:tcW w:w="850" w:type="dxa"/>
            <w:noWrap w:val="0"/>
            <w:vAlign w:val="center"/>
          </w:tcPr>
          <w:p>
            <w:pPr>
              <w:jc w:val="center"/>
              <w:rPr>
                <w:rFonts w:hint="eastAsia" w:ascii="宋体" w:hAnsi="宋体" w:eastAsia="宋体" w:cs="宋体"/>
                <w:color w:val="auto"/>
                <w:szCs w:val="21"/>
                <w:highlight w:val="none"/>
              </w:rPr>
            </w:pPr>
          </w:p>
        </w:tc>
      </w:tr>
    </w:tbl>
    <w:p>
      <w:pPr>
        <w:spacing w:beforeAutospacing="0" w:afterAutospacing="0" w:line="420" w:lineRule="exact"/>
        <w:rPr>
          <w:rFonts w:hint="eastAsia" w:ascii="宋体" w:hAnsi="宋体" w:eastAsia="宋体" w:cs="宋体"/>
          <w:color w:val="auto"/>
          <w:szCs w:val="21"/>
          <w:highlight w:val="none"/>
        </w:rPr>
      </w:pPr>
    </w:p>
    <w:p>
      <w:pPr>
        <w:spacing w:before="120" w:beforeLines="50" w:beforeAutospacing="0" w:after="120" w:afterLines="50" w:afterAutospacing="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附表三：劳动力计划表</w:t>
      </w:r>
    </w:p>
    <w:p>
      <w:pPr>
        <w:wordWrap w:val="0"/>
        <w:spacing w:beforeAutospacing="0" w:afterAutospacing="0" w:line="4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单位：人   </w:t>
      </w:r>
    </w:p>
    <w:tbl>
      <w:tblPr>
        <w:tblStyle w:val="2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166"/>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6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7544" w:type="dxa"/>
            <w:gridSpan w:val="7"/>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1" w:type="dxa"/>
            <w:noWrap w:val="0"/>
            <w:vAlign w:val="center"/>
          </w:tcPr>
          <w:p>
            <w:pPr>
              <w:jc w:val="center"/>
              <w:rPr>
                <w:rFonts w:hint="eastAsia" w:ascii="宋体" w:hAnsi="宋体" w:eastAsia="宋体" w:cs="宋体"/>
                <w:color w:val="auto"/>
                <w:szCs w:val="21"/>
                <w:highlight w:val="none"/>
              </w:rPr>
            </w:pPr>
          </w:p>
        </w:tc>
        <w:tc>
          <w:tcPr>
            <w:tcW w:w="1166"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c>
          <w:tcPr>
            <w:tcW w:w="1063" w:type="dxa"/>
            <w:noWrap w:val="0"/>
            <w:vAlign w:val="center"/>
          </w:tcPr>
          <w:p>
            <w:pPr>
              <w:jc w:val="center"/>
              <w:rPr>
                <w:rFonts w:hint="eastAsia" w:ascii="宋体" w:hAnsi="宋体" w:eastAsia="宋体" w:cs="宋体"/>
                <w:color w:val="auto"/>
                <w:szCs w:val="21"/>
                <w:highlight w:val="none"/>
              </w:rPr>
            </w:pPr>
          </w:p>
        </w:tc>
      </w:tr>
    </w:tbl>
    <w:p>
      <w:pPr>
        <w:spacing w:beforeAutospacing="0" w:afterAutospacing="0" w:line="420" w:lineRule="exact"/>
        <w:rPr>
          <w:rFonts w:hint="eastAsia" w:ascii="宋体" w:hAnsi="宋体" w:eastAsia="宋体" w:cs="宋体"/>
          <w:color w:val="auto"/>
          <w:szCs w:val="21"/>
          <w:highlight w:val="none"/>
        </w:rPr>
      </w:pPr>
    </w:p>
    <w:p>
      <w:pPr>
        <w:spacing w:before="120" w:beforeLines="50" w:beforeAutospacing="0" w:after="240" w:afterLines="100" w:afterAutospacing="0"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rPr>
        <w:br w:type="page"/>
      </w:r>
      <w:r>
        <w:rPr>
          <w:rFonts w:hint="eastAsia" w:ascii="宋体" w:hAnsi="宋体" w:eastAsia="宋体" w:cs="宋体"/>
          <w:color w:val="auto"/>
          <w:sz w:val="24"/>
          <w:szCs w:val="24"/>
          <w:highlight w:val="none"/>
        </w:rPr>
        <w:t>附表四：计划开、竣工日期和施工进度</w:t>
      </w:r>
      <w:r>
        <w:rPr>
          <w:rFonts w:hint="eastAsia" w:ascii="宋体" w:hAnsi="宋体" w:eastAsia="宋体" w:cs="宋体"/>
          <w:color w:val="auto"/>
          <w:sz w:val="24"/>
          <w:szCs w:val="24"/>
          <w:highlight w:val="none"/>
          <w:lang w:eastAsia="zh-CN"/>
        </w:rPr>
        <w:t>表</w:t>
      </w:r>
    </w:p>
    <w:p>
      <w:pPr>
        <w:spacing w:beforeAutospacing="0" w:afterAutospacing="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1．投标人应递交施工进度网络图或施工进度表，说明按招标文件要求的计划工期进行施工的各个关键日期。</w:t>
      </w:r>
    </w:p>
    <w:p>
      <w:pPr>
        <w:spacing w:beforeAutospacing="0" w:afterAutospacing="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2．施工进度表可采用网络图或横道图表示。</w:t>
      </w:r>
    </w:p>
    <w:p>
      <w:pPr>
        <w:spacing w:before="120" w:beforeLines="50" w:beforeAutospacing="0" w:after="240" w:afterLines="100" w:afterAutospacing="0" w:line="420" w:lineRule="exact"/>
        <w:rPr>
          <w:rFonts w:hint="eastAsia" w:ascii="宋体" w:hAnsi="宋体" w:eastAsia="宋体" w:cs="宋体"/>
          <w:color w:val="auto"/>
          <w:szCs w:val="21"/>
          <w:highlight w:val="none"/>
        </w:rPr>
      </w:pPr>
      <w:r>
        <w:rPr>
          <w:rFonts w:hint="eastAsia" w:ascii="宋体" w:hAnsi="宋体" w:eastAsia="宋体" w:cs="宋体"/>
          <w:b/>
          <w:bCs/>
          <w:color w:val="FF0000"/>
          <w:szCs w:val="21"/>
          <w:highlight w:val="none"/>
        </w:rPr>
        <w:br w:type="page"/>
      </w:r>
      <w:r>
        <w:rPr>
          <w:rFonts w:hint="eastAsia" w:ascii="宋体" w:hAnsi="宋体" w:eastAsia="宋体" w:cs="宋体"/>
          <w:color w:val="auto"/>
          <w:sz w:val="24"/>
          <w:highlight w:val="none"/>
        </w:rPr>
        <w:t>附表五：施工总平面图</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pPr>
        <w:spacing w:before="120" w:beforeLines="50" w:beforeAutospacing="0" w:after="240" w:afterLines="100" w:afterAutospacing="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附表六：临时用地表</w:t>
      </w:r>
    </w:p>
    <w:tbl>
      <w:tblPr>
        <w:tblStyle w:val="2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2079"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 积（平方米）</w:t>
            </w:r>
          </w:p>
        </w:tc>
        <w:tc>
          <w:tcPr>
            <w:tcW w:w="2079"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  置</w:t>
            </w:r>
          </w:p>
        </w:tc>
        <w:tc>
          <w:tcPr>
            <w:tcW w:w="2079"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c>
          <w:tcPr>
            <w:tcW w:w="2079" w:type="dxa"/>
            <w:noWrap w:val="0"/>
            <w:vAlign w:val="top"/>
          </w:tcPr>
          <w:p>
            <w:pPr>
              <w:rPr>
                <w:rFonts w:hint="eastAsia" w:ascii="宋体" w:hAnsi="宋体" w:eastAsia="宋体" w:cs="宋体"/>
                <w:color w:val="auto"/>
                <w:szCs w:val="21"/>
                <w:highlight w:val="none"/>
              </w:rPr>
            </w:pPr>
          </w:p>
        </w:tc>
      </w:tr>
    </w:tbl>
    <w:p>
      <w:pPr>
        <w:spacing w:beforeAutospacing="0" w:afterAutospacing="0" w:line="420" w:lineRule="exact"/>
        <w:rPr>
          <w:rFonts w:hint="eastAsia" w:ascii="宋体" w:hAnsi="宋体" w:eastAsia="宋体" w:cs="宋体"/>
          <w:color w:val="auto"/>
          <w:szCs w:val="21"/>
          <w:highlight w:val="none"/>
        </w:rPr>
      </w:pPr>
    </w:p>
    <w:p>
      <w:pPr>
        <w:pStyle w:val="5"/>
        <w:jc w:val="center"/>
        <w:outlineLvl w:val="1"/>
        <w:rPr>
          <w:rFonts w:hint="eastAsia" w:ascii="宋体" w:hAnsi="宋体" w:eastAsia="宋体" w:cs="宋体"/>
          <w:color w:val="auto"/>
          <w:highlight w:val="none"/>
          <w:lang w:eastAsia="zh-CN"/>
        </w:rPr>
      </w:pPr>
      <w:bookmarkStart w:id="1358" w:name="_Toc12838"/>
      <w:bookmarkEnd w:id="1358"/>
      <w:bookmarkStart w:id="1359" w:name="_Toc28462"/>
      <w:bookmarkEnd w:id="1359"/>
      <w:bookmarkStart w:id="1360" w:name="_Toc516822673"/>
      <w:bookmarkEnd w:id="1360"/>
    </w:p>
    <w:p>
      <w:pPr>
        <w:pStyle w:val="5"/>
        <w:jc w:val="center"/>
        <w:outlineLvl w:val="1"/>
        <w:rPr>
          <w:rFonts w:hint="eastAsia" w:ascii="宋体" w:hAnsi="宋体" w:eastAsia="宋体" w:cs="宋体"/>
          <w:color w:val="auto"/>
          <w:highlight w:val="none"/>
        </w:rPr>
      </w:pPr>
      <w:bookmarkStart w:id="1361" w:name="_Toc5524"/>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项目管理机构</w:t>
      </w:r>
      <w:bookmarkEnd w:id="1361"/>
    </w:p>
    <w:p>
      <w:pPr>
        <w:pStyle w:val="6"/>
        <w:jc w:val="center"/>
        <w:outlineLvl w:val="2"/>
        <w:rPr>
          <w:rFonts w:hint="eastAsia" w:ascii="宋体" w:hAnsi="宋体" w:eastAsia="宋体" w:cs="宋体"/>
          <w:color w:val="auto"/>
          <w:sz w:val="24"/>
          <w:szCs w:val="24"/>
          <w:highlight w:val="none"/>
        </w:rPr>
      </w:pPr>
      <w:bookmarkStart w:id="1362" w:name="_Toc516822674"/>
      <w:bookmarkEnd w:id="1362"/>
      <w:bookmarkStart w:id="1363" w:name="_Toc26883"/>
      <w:bookmarkEnd w:id="1363"/>
      <w:bookmarkStart w:id="1364" w:name="_Toc27167"/>
      <w:bookmarkEnd w:id="1364"/>
      <w:bookmarkStart w:id="1365" w:name="_Toc1245"/>
      <w:bookmarkEnd w:id="1365"/>
      <w:bookmarkStart w:id="1366" w:name="_Toc27621"/>
      <w:bookmarkStart w:id="1367" w:name="_Toc9057"/>
      <w:bookmarkStart w:id="1368" w:name="_Toc19000"/>
      <w:r>
        <w:rPr>
          <w:rFonts w:hint="eastAsia" w:ascii="宋体" w:hAnsi="宋体" w:eastAsia="宋体" w:cs="宋体"/>
          <w:color w:val="auto"/>
          <w:sz w:val="24"/>
          <w:szCs w:val="24"/>
          <w:highlight w:val="none"/>
        </w:rPr>
        <w:t>（一）项目管理机构组成表</w:t>
      </w:r>
      <w:bookmarkEnd w:id="1366"/>
      <w:bookmarkEnd w:id="1367"/>
      <w:bookmarkEnd w:id="1368"/>
    </w:p>
    <w:tbl>
      <w:tblPr>
        <w:tblStyle w:val="26"/>
        <w:tblW w:w="904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71"/>
        <w:gridCol w:w="971"/>
        <w:gridCol w:w="1215"/>
        <w:gridCol w:w="1215"/>
        <w:gridCol w:w="1215"/>
        <w:gridCol w:w="106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71"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71"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712" w:type="dxa"/>
            <w:gridSpan w:val="4"/>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915"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vMerge w:val="continue"/>
            <w:noWrap w:val="0"/>
            <w:vAlign w:val="center"/>
          </w:tcPr>
          <w:p>
            <w:pPr>
              <w:jc w:val="center"/>
              <w:rPr>
                <w:rFonts w:hint="eastAsia" w:ascii="宋体" w:hAnsi="宋体" w:eastAsia="宋体" w:cs="宋体"/>
                <w:color w:val="auto"/>
                <w:sz w:val="24"/>
                <w:szCs w:val="24"/>
                <w:highlight w:val="none"/>
              </w:rPr>
            </w:pPr>
          </w:p>
        </w:tc>
        <w:tc>
          <w:tcPr>
            <w:tcW w:w="971" w:type="dxa"/>
            <w:vMerge w:val="continue"/>
            <w:noWrap w:val="0"/>
            <w:vAlign w:val="center"/>
          </w:tcPr>
          <w:p>
            <w:pPr>
              <w:jc w:val="center"/>
              <w:rPr>
                <w:rFonts w:hint="eastAsia" w:ascii="宋体" w:hAnsi="宋体" w:eastAsia="宋体" w:cs="宋体"/>
                <w:color w:val="auto"/>
                <w:sz w:val="24"/>
                <w:szCs w:val="24"/>
                <w:highlight w:val="none"/>
              </w:rPr>
            </w:pPr>
          </w:p>
        </w:tc>
        <w:tc>
          <w:tcPr>
            <w:tcW w:w="971" w:type="dxa"/>
            <w:vMerge w:val="continue"/>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2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21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6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915" w:type="dxa"/>
            <w:vMerge w:val="continue"/>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lang w:eastAsia="zh-CN"/>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lang w:eastAsia="zh-CN"/>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76"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971"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215" w:type="dxa"/>
            <w:noWrap w:val="0"/>
            <w:vAlign w:val="center"/>
          </w:tcPr>
          <w:p>
            <w:pPr>
              <w:jc w:val="center"/>
              <w:rPr>
                <w:rFonts w:hint="eastAsia" w:ascii="宋体" w:hAnsi="宋体" w:eastAsia="宋体" w:cs="宋体"/>
                <w:color w:val="auto"/>
                <w:sz w:val="24"/>
                <w:szCs w:val="24"/>
                <w:highlight w:val="none"/>
              </w:rPr>
            </w:pPr>
          </w:p>
        </w:tc>
        <w:tc>
          <w:tcPr>
            <w:tcW w:w="1067" w:type="dxa"/>
            <w:noWrap w:val="0"/>
            <w:vAlign w:val="center"/>
          </w:tcPr>
          <w:p>
            <w:pPr>
              <w:jc w:val="center"/>
              <w:rPr>
                <w:rFonts w:hint="eastAsia" w:ascii="宋体" w:hAnsi="宋体" w:eastAsia="宋体" w:cs="宋体"/>
                <w:color w:val="auto"/>
                <w:sz w:val="24"/>
                <w:szCs w:val="24"/>
                <w:highlight w:val="none"/>
              </w:rPr>
            </w:pPr>
          </w:p>
        </w:tc>
        <w:tc>
          <w:tcPr>
            <w:tcW w:w="915" w:type="dxa"/>
            <w:noWrap w:val="0"/>
            <w:vAlign w:val="center"/>
          </w:tcPr>
          <w:p>
            <w:pPr>
              <w:jc w:val="center"/>
              <w:rPr>
                <w:rFonts w:hint="eastAsia" w:ascii="宋体" w:hAnsi="宋体" w:eastAsia="宋体" w:cs="宋体"/>
                <w:color w:val="auto"/>
                <w:sz w:val="24"/>
                <w:szCs w:val="24"/>
                <w:highlight w:val="none"/>
              </w:rPr>
            </w:pPr>
          </w:p>
        </w:tc>
      </w:tr>
    </w:tbl>
    <w:p>
      <w:pPr>
        <w:spacing w:beforeAutospacing="0" w:afterAutospacing="0" w:line="420" w:lineRule="exact"/>
        <w:rPr>
          <w:rFonts w:hint="eastAsia" w:ascii="宋体" w:hAnsi="宋体" w:eastAsia="宋体" w:cs="宋体"/>
          <w:color w:val="auto"/>
          <w:highlight w:val="none"/>
        </w:rPr>
      </w:pPr>
      <w:bookmarkStart w:id="1369" w:name="_Toc516822675"/>
    </w:p>
    <w:p>
      <w:pPr>
        <w:numPr>
          <w:ilvl w:val="0"/>
          <w:numId w:val="0"/>
        </w:numPr>
        <w:spacing w:beforeAutospacing="0" w:afterAutospacing="0" w:line="360" w:lineRule="auto"/>
        <w:jc w:val="center"/>
        <w:rPr>
          <w:rFonts w:hint="eastAsia" w:ascii="宋体" w:hAnsi="宋体" w:eastAsia="宋体" w:cs="宋体"/>
          <w:b/>
          <w:bCs/>
          <w:color w:val="auto"/>
          <w:sz w:val="24"/>
          <w:szCs w:val="24"/>
          <w:highlight w:val="none"/>
          <w:lang w:eastAsia="zh-CN"/>
        </w:rPr>
      </w:pPr>
    </w:p>
    <w:p>
      <w:pPr>
        <w:numPr>
          <w:ilvl w:val="0"/>
          <w:numId w:val="0"/>
        </w:numPr>
        <w:spacing w:beforeAutospacing="0" w:afterAutospacing="0" w:line="360" w:lineRule="auto"/>
        <w:jc w:val="center"/>
        <w:rPr>
          <w:rFonts w:hint="eastAsia" w:ascii="宋体" w:hAnsi="宋体" w:eastAsia="宋体" w:cs="宋体"/>
          <w:b/>
          <w:bCs/>
          <w:color w:val="auto"/>
          <w:sz w:val="24"/>
          <w:szCs w:val="24"/>
          <w:highlight w:val="none"/>
          <w:lang w:eastAsia="zh-CN"/>
        </w:rPr>
      </w:pPr>
    </w:p>
    <w:p>
      <w:pPr>
        <w:pStyle w:val="2"/>
        <w:rPr>
          <w:rFonts w:hint="eastAsia" w:ascii="宋体" w:hAnsi="宋体" w:eastAsia="宋体" w:cs="宋体"/>
          <w:b/>
          <w:bCs/>
          <w:color w:val="auto"/>
          <w:sz w:val="24"/>
          <w:szCs w:val="24"/>
          <w:highlight w:val="none"/>
          <w:lang w:eastAsia="zh-CN"/>
        </w:rPr>
      </w:pPr>
    </w:p>
    <w:p>
      <w:pPr>
        <w:pStyle w:val="3"/>
        <w:rPr>
          <w:rFonts w:hint="eastAsia" w:ascii="宋体" w:hAnsi="宋体" w:eastAsia="宋体" w:cs="宋体"/>
          <w:b/>
          <w:bCs/>
          <w:color w:val="auto"/>
          <w:sz w:val="24"/>
          <w:szCs w:val="24"/>
          <w:highlight w:val="none"/>
          <w:lang w:eastAsia="zh-CN"/>
        </w:rPr>
      </w:pPr>
    </w:p>
    <w:p>
      <w:pPr>
        <w:pStyle w:val="2"/>
        <w:rPr>
          <w:rFonts w:hint="eastAsia" w:ascii="宋体" w:hAnsi="宋体" w:eastAsia="宋体" w:cs="宋体"/>
          <w:b/>
          <w:bCs/>
          <w:color w:val="auto"/>
          <w:sz w:val="24"/>
          <w:szCs w:val="24"/>
          <w:highlight w:val="none"/>
          <w:lang w:eastAsia="zh-CN"/>
        </w:rPr>
      </w:pPr>
    </w:p>
    <w:bookmarkEnd w:id="1369"/>
    <w:p>
      <w:pPr>
        <w:pStyle w:val="6"/>
        <w:jc w:val="center"/>
        <w:outlineLvl w:val="2"/>
        <w:rPr>
          <w:rFonts w:hint="eastAsia" w:ascii="宋体" w:hAnsi="宋体" w:eastAsia="宋体" w:cs="宋体"/>
          <w:b/>
          <w:bCs/>
          <w:color w:val="auto"/>
          <w:sz w:val="24"/>
          <w:szCs w:val="24"/>
          <w:highlight w:val="none"/>
        </w:rPr>
      </w:pPr>
      <w:bookmarkStart w:id="1370" w:name="_Toc18995"/>
      <w:bookmarkEnd w:id="1370"/>
      <w:bookmarkStart w:id="1371" w:name="_Toc10003"/>
      <w:bookmarkStart w:id="1372" w:name="_Toc23857"/>
      <w:bookmarkStart w:id="1373" w:name="_Toc21119"/>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kern w:val="0"/>
          <w:sz w:val="24"/>
          <w:szCs w:val="24"/>
          <w:highlight w:val="none"/>
        </w:rPr>
        <w:t>主要人员简历表</w:t>
      </w:r>
      <w:bookmarkEnd w:id="1371"/>
      <w:bookmarkEnd w:id="1372"/>
      <w:bookmarkEnd w:id="1373"/>
    </w:p>
    <w:p>
      <w:pPr>
        <w:keepNext w:val="0"/>
        <w:keepLines w:val="0"/>
        <w:pageBreakBefore w:val="0"/>
        <w:widowControl w:val="0"/>
        <w:kinsoku/>
        <w:overflowPunct/>
        <w:topLinePunct w:val="0"/>
        <w:autoSpaceDE w:val="0"/>
        <w:autoSpaceDN w:val="0"/>
        <w:bidi w:val="0"/>
        <w:adjustRightInd w:val="0"/>
        <w:spacing w:beforeAutospacing="0" w:afterAutospacing="0" w:line="560" w:lineRule="exact"/>
        <w:ind w:left="0" w:leftChars="0" w:right="0" w:rightChars="0" w:firstLine="480" w:firstLineChars="2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“主要人员简历表”中的项目经理附建造师注册证书、安全生产考核合格证（B证）、身份证等复印件，管理过的项目业绩</w:t>
      </w:r>
      <w:r>
        <w:rPr>
          <w:rFonts w:hint="eastAsia" w:ascii="宋体" w:hAnsi="宋体" w:eastAsia="宋体" w:cs="宋体"/>
          <w:kern w:val="0"/>
          <w:sz w:val="24"/>
          <w:szCs w:val="24"/>
          <w:highlight w:val="none"/>
          <w:lang w:eastAsia="zh-CN"/>
        </w:rPr>
        <w:t>（如有）</w:t>
      </w:r>
      <w:r>
        <w:rPr>
          <w:rFonts w:hint="eastAsia" w:ascii="宋体" w:hAnsi="宋体" w:eastAsia="宋体" w:cs="宋体"/>
          <w:kern w:val="0"/>
          <w:sz w:val="24"/>
          <w:szCs w:val="24"/>
          <w:highlight w:val="none"/>
        </w:rPr>
        <w:t>须附中标通知书、合同协议书复印件；技术负责人应附身份证</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职称证复印件；其他人员应附身份证</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职称证（执业证或上岗证书）复印件。</w:t>
      </w:r>
    </w:p>
    <w:tbl>
      <w:tblPr>
        <w:tblStyle w:val="26"/>
        <w:tblW w:w="9170" w:type="dxa"/>
        <w:tblInd w:w="-383" w:type="dxa"/>
        <w:tblLayout w:type="fixed"/>
        <w:tblCellMar>
          <w:top w:w="0" w:type="dxa"/>
          <w:left w:w="0" w:type="dxa"/>
          <w:bottom w:w="0" w:type="dxa"/>
          <w:right w:w="0" w:type="dxa"/>
        </w:tblCellMar>
      </w:tblPr>
      <w:tblGrid>
        <w:gridCol w:w="1698"/>
        <w:gridCol w:w="1101"/>
        <w:gridCol w:w="942"/>
        <w:gridCol w:w="1086"/>
        <w:gridCol w:w="2169"/>
        <w:gridCol w:w="2174"/>
      </w:tblGrid>
      <w:tr>
        <w:tblPrEx>
          <w:tblCellMar>
            <w:top w:w="0" w:type="dxa"/>
            <w:left w:w="0" w:type="dxa"/>
            <w:bottom w:w="0" w:type="dxa"/>
            <w:right w:w="0" w:type="dxa"/>
          </w:tblCellMar>
        </w:tblPrEx>
        <w:trPr>
          <w:trHeight w:val="672" w:hRule="atLeast"/>
        </w:trPr>
        <w:tc>
          <w:tcPr>
            <w:tcW w:w="1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姓</w:t>
            </w:r>
            <w:r>
              <w:rPr>
                <w:rFonts w:hint="eastAsia" w:ascii="宋体" w:hAnsi="宋体" w:eastAsia="宋体" w:cs="宋体"/>
                <w:spacing w:val="1"/>
                <w:kern w:val="0"/>
                <w:sz w:val="24"/>
                <w:szCs w:val="24"/>
                <w:highlight w:val="none"/>
              </w:rPr>
              <w:tab/>
            </w:r>
            <w:r>
              <w:rPr>
                <w:rFonts w:hint="eastAsia" w:ascii="宋体" w:hAnsi="宋体" w:eastAsia="宋体" w:cs="宋体"/>
                <w:spacing w:val="1"/>
                <w:kern w:val="0"/>
                <w:sz w:val="24"/>
                <w:szCs w:val="24"/>
                <w:highlight w:val="none"/>
              </w:rPr>
              <w:t>名</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szCs w:val="24"/>
                <w:highlight w:val="none"/>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年  龄</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szCs w:val="24"/>
                <w:highlight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学历</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szCs w:val="24"/>
                <w:highlight w:val="none"/>
              </w:rPr>
            </w:pPr>
          </w:p>
        </w:tc>
      </w:tr>
      <w:tr>
        <w:tblPrEx>
          <w:tblCellMar>
            <w:top w:w="0" w:type="dxa"/>
            <w:left w:w="0" w:type="dxa"/>
            <w:bottom w:w="0" w:type="dxa"/>
            <w:right w:w="0" w:type="dxa"/>
          </w:tblCellMar>
        </w:tblPrEx>
        <w:trPr>
          <w:trHeight w:val="672" w:hRule="atLeast"/>
        </w:trPr>
        <w:tc>
          <w:tcPr>
            <w:tcW w:w="1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职</w:t>
            </w:r>
            <w:r>
              <w:rPr>
                <w:rFonts w:hint="eastAsia" w:ascii="宋体" w:hAnsi="宋体" w:eastAsia="宋体" w:cs="宋体"/>
                <w:spacing w:val="1"/>
                <w:kern w:val="0"/>
                <w:sz w:val="24"/>
                <w:szCs w:val="24"/>
                <w:highlight w:val="none"/>
              </w:rPr>
              <w:tab/>
            </w:r>
            <w:r>
              <w:rPr>
                <w:rFonts w:hint="eastAsia" w:ascii="宋体" w:hAnsi="宋体" w:eastAsia="宋体" w:cs="宋体"/>
                <w:spacing w:val="1"/>
                <w:kern w:val="0"/>
                <w:sz w:val="24"/>
                <w:szCs w:val="24"/>
                <w:highlight w:val="none"/>
              </w:rPr>
              <w:t>称</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szCs w:val="24"/>
                <w:highlight w:val="none"/>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职  务</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szCs w:val="24"/>
                <w:highlight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拟在本合同任职</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67" w:firstLineChars="28"/>
              <w:jc w:val="center"/>
              <w:rPr>
                <w:rFonts w:hint="eastAsia" w:ascii="宋体" w:hAnsi="宋体" w:eastAsia="宋体" w:cs="宋体"/>
                <w:spacing w:val="1"/>
                <w:kern w:val="0"/>
                <w:sz w:val="24"/>
                <w:szCs w:val="24"/>
                <w:highlight w:val="none"/>
              </w:rPr>
            </w:pPr>
          </w:p>
        </w:tc>
      </w:tr>
      <w:tr>
        <w:tblPrEx>
          <w:tblCellMar>
            <w:top w:w="0" w:type="dxa"/>
            <w:left w:w="0" w:type="dxa"/>
            <w:bottom w:w="0" w:type="dxa"/>
            <w:right w:w="0" w:type="dxa"/>
          </w:tblCellMar>
        </w:tblPrEx>
        <w:trPr>
          <w:trHeight w:val="672" w:hRule="atLeast"/>
        </w:trPr>
        <w:tc>
          <w:tcPr>
            <w:tcW w:w="1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毕业学校</w:t>
            </w:r>
          </w:p>
        </w:tc>
        <w:tc>
          <w:tcPr>
            <w:tcW w:w="7472"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2820"/>
                <w:tab w:val="left" w:pos="4080"/>
              </w:tabs>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年毕业于</w:t>
            </w:r>
            <w:r>
              <w:rPr>
                <w:rFonts w:hint="eastAsia" w:ascii="宋体" w:hAnsi="宋体" w:eastAsia="宋体" w:cs="宋体"/>
                <w:spacing w:val="1"/>
                <w:kern w:val="0"/>
                <w:sz w:val="24"/>
                <w:szCs w:val="24"/>
                <w:highlight w:val="none"/>
              </w:rPr>
              <w:tab/>
            </w:r>
            <w:r>
              <w:rPr>
                <w:rFonts w:hint="eastAsia" w:ascii="宋体" w:hAnsi="宋体" w:eastAsia="宋体" w:cs="宋体"/>
                <w:spacing w:val="1"/>
                <w:kern w:val="0"/>
                <w:sz w:val="24"/>
                <w:szCs w:val="24"/>
                <w:highlight w:val="none"/>
              </w:rPr>
              <w:t>学校</w:t>
            </w:r>
            <w:r>
              <w:rPr>
                <w:rFonts w:hint="eastAsia" w:ascii="宋体" w:hAnsi="宋体" w:eastAsia="宋体" w:cs="宋体"/>
                <w:spacing w:val="1"/>
                <w:kern w:val="0"/>
                <w:sz w:val="24"/>
                <w:szCs w:val="24"/>
                <w:highlight w:val="none"/>
              </w:rPr>
              <w:tab/>
            </w:r>
            <w:r>
              <w:rPr>
                <w:rFonts w:hint="eastAsia" w:ascii="宋体" w:hAnsi="宋体" w:eastAsia="宋体" w:cs="宋体"/>
                <w:spacing w:val="1"/>
                <w:kern w:val="0"/>
                <w:sz w:val="24"/>
                <w:szCs w:val="24"/>
                <w:highlight w:val="none"/>
              </w:rPr>
              <w:t>专业</w:t>
            </w:r>
          </w:p>
        </w:tc>
      </w:tr>
      <w:tr>
        <w:tblPrEx>
          <w:tblCellMar>
            <w:top w:w="0" w:type="dxa"/>
            <w:left w:w="0" w:type="dxa"/>
            <w:bottom w:w="0" w:type="dxa"/>
            <w:right w:w="0" w:type="dxa"/>
          </w:tblCellMar>
        </w:tblPrEx>
        <w:trPr>
          <w:trHeight w:val="672" w:hRule="atLeast"/>
        </w:trPr>
        <w:tc>
          <w:tcPr>
            <w:tcW w:w="917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主要工作经历</w:t>
            </w:r>
          </w:p>
        </w:tc>
      </w:tr>
      <w:tr>
        <w:tblPrEx>
          <w:tblCellMar>
            <w:top w:w="0" w:type="dxa"/>
            <w:left w:w="0" w:type="dxa"/>
            <w:bottom w:w="0" w:type="dxa"/>
            <w:right w:w="0" w:type="dxa"/>
          </w:tblCellMar>
        </w:tblPrEx>
        <w:trPr>
          <w:trHeight w:val="672" w:hRule="atLeast"/>
        </w:trPr>
        <w:tc>
          <w:tcPr>
            <w:tcW w:w="1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时</w:t>
            </w:r>
            <w:r>
              <w:rPr>
                <w:rFonts w:hint="eastAsia" w:ascii="宋体" w:hAnsi="宋体" w:eastAsia="宋体" w:cs="宋体"/>
                <w:spacing w:val="1"/>
                <w:kern w:val="0"/>
                <w:sz w:val="24"/>
                <w:szCs w:val="24"/>
                <w:highlight w:val="none"/>
              </w:rPr>
              <w:tab/>
            </w:r>
            <w:r>
              <w:rPr>
                <w:rFonts w:hint="eastAsia" w:ascii="宋体" w:hAnsi="宋体" w:eastAsia="宋体" w:cs="宋体"/>
                <w:spacing w:val="1"/>
                <w:kern w:val="0"/>
                <w:sz w:val="24"/>
                <w:szCs w:val="24"/>
                <w:highlight w:val="none"/>
              </w:rPr>
              <w:t>间</w:t>
            </w:r>
          </w:p>
        </w:tc>
        <w:tc>
          <w:tcPr>
            <w:tcW w:w="312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参加过的类似项目</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担任职务</w:t>
            </w: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发包人及联系电话</w:t>
            </w:r>
          </w:p>
        </w:tc>
      </w:tr>
      <w:tr>
        <w:tblPrEx>
          <w:tblCellMar>
            <w:top w:w="0" w:type="dxa"/>
            <w:left w:w="0" w:type="dxa"/>
            <w:bottom w:w="0" w:type="dxa"/>
            <w:right w:w="0" w:type="dxa"/>
          </w:tblCellMar>
        </w:tblPrEx>
        <w:trPr>
          <w:trHeight w:val="672" w:hRule="atLeast"/>
        </w:trPr>
        <w:tc>
          <w:tcPr>
            <w:tcW w:w="1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p>
        </w:tc>
        <w:tc>
          <w:tcPr>
            <w:tcW w:w="312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p>
        </w:tc>
      </w:tr>
      <w:tr>
        <w:tblPrEx>
          <w:tblCellMar>
            <w:top w:w="0" w:type="dxa"/>
            <w:left w:w="0" w:type="dxa"/>
            <w:bottom w:w="0" w:type="dxa"/>
            <w:right w:w="0" w:type="dxa"/>
          </w:tblCellMar>
        </w:tblPrEx>
        <w:trPr>
          <w:trHeight w:val="672" w:hRule="atLeast"/>
        </w:trPr>
        <w:tc>
          <w:tcPr>
            <w:tcW w:w="16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p>
        </w:tc>
        <w:tc>
          <w:tcPr>
            <w:tcW w:w="312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p>
        </w:tc>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beforeAutospacing="0" w:afterAutospacing="0"/>
              <w:ind w:right="97" w:firstLine="67" w:firstLineChars="28"/>
              <w:jc w:val="center"/>
              <w:rPr>
                <w:rFonts w:hint="eastAsia" w:ascii="宋体" w:hAnsi="宋体" w:eastAsia="宋体" w:cs="宋体"/>
                <w:spacing w:val="1"/>
                <w:kern w:val="0"/>
                <w:sz w:val="24"/>
                <w:szCs w:val="24"/>
                <w:highlight w:val="none"/>
              </w:rPr>
            </w:pPr>
          </w:p>
        </w:tc>
      </w:tr>
    </w:tbl>
    <w:p>
      <w:pPr>
        <w:keepNext w:val="0"/>
        <w:keepLines w:val="0"/>
        <w:pageBreakBefore w:val="0"/>
        <w:widowControl w:val="0"/>
        <w:numPr>
          <w:ilvl w:val="0"/>
          <w:numId w:val="0"/>
        </w:numPr>
        <w:kinsoku/>
        <w:overflowPunct/>
        <w:topLinePunct w:val="0"/>
        <w:bidi w:val="0"/>
        <w:adjustRightInd/>
        <w:spacing w:beforeAutospacing="0" w:afterAutospacing="0" w:line="500" w:lineRule="exact"/>
        <w:ind w:firstLine="482" w:firstLineChars="200"/>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numPr>
          <w:ilvl w:val="0"/>
          <w:numId w:val="0"/>
        </w:numPr>
        <w:kinsoku/>
        <w:overflowPunct/>
        <w:topLinePunct w:val="0"/>
        <w:bidi w:val="0"/>
        <w:adjustRightInd/>
        <w:spacing w:beforeAutospacing="0" w:afterAutospacing="0" w:line="500" w:lineRule="exact"/>
        <w:ind w:firstLine="482" w:firstLineChars="200"/>
        <w:textAlignment w:val="auto"/>
        <w:rPr>
          <w:rFonts w:hint="eastAsia" w:ascii="宋体" w:hAnsi="宋体" w:eastAsia="宋体" w:cs="宋体"/>
          <w:b/>
          <w:bCs/>
          <w:color w:val="auto"/>
          <w:sz w:val="24"/>
          <w:szCs w:val="24"/>
          <w:highlight w:val="none"/>
          <w:lang w:val="en-US" w:eastAsia="zh-CN"/>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2"/>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jc w:val="center"/>
        <w:outlineLvl w:val="1"/>
        <w:rPr>
          <w:rFonts w:hint="eastAsia" w:ascii="宋体" w:hAnsi="宋体" w:eastAsia="宋体" w:cs="宋体"/>
          <w:b/>
          <w:bCs/>
          <w:color w:val="auto"/>
          <w:sz w:val="24"/>
          <w:szCs w:val="24"/>
          <w:highlight w:val="none"/>
        </w:rPr>
        <w:sectPr>
          <w:pgSz w:w="11906" w:h="16838"/>
          <w:pgMar w:top="1588" w:right="1701" w:bottom="1418" w:left="1701" w:header="851" w:footer="851" w:gutter="0"/>
          <w:pgNumType w:fmt="decimal"/>
          <w:cols w:space="720" w:num="1"/>
          <w:docGrid w:linePitch="312" w:charSpace="0"/>
        </w:sectPr>
      </w:pPr>
      <w:bookmarkStart w:id="1374" w:name="_Toc19111"/>
      <w:bookmarkStart w:id="1375" w:name="_Toc28584"/>
      <w:bookmarkStart w:id="1376" w:name="_Toc516822677"/>
    </w:p>
    <w:bookmarkEnd w:id="1374"/>
    <w:bookmarkEnd w:id="1375"/>
    <w:bookmarkEnd w:id="1376"/>
    <w:p>
      <w:pPr>
        <w:pStyle w:val="5"/>
        <w:jc w:val="center"/>
        <w:outlineLvl w:val="1"/>
        <w:rPr>
          <w:rFonts w:hint="eastAsia" w:ascii="宋体" w:hAnsi="宋体" w:eastAsia="宋体" w:cs="宋体"/>
          <w:b/>
          <w:bCs/>
          <w:color w:val="auto"/>
          <w:sz w:val="24"/>
          <w:szCs w:val="24"/>
          <w:highlight w:val="none"/>
        </w:rPr>
      </w:pPr>
      <w:bookmarkStart w:id="1377" w:name="_Toc5564"/>
      <w:bookmarkEnd w:id="1377"/>
      <w:bookmarkStart w:id="1378" w:name="_Toc2204"/>
      <w:bookmarkStart w:id="1379" w:name="_Toc4953"/>
      <w:bookmarkStart w:id="1380" w:name="_Toc25923"/>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）项目经理无在建承诺书</w:t>
      </w:r>
      <w:bookmarkEnd w:id="1378"/>
      <w:bookmarkEnd w:id="1379"/>
      <w:bookmarkEnd w:id="1380"/>
    </w:p>
    <w:p>
      <w:pPr>
        <w:spacing w:beforeAutospacing="0" w:after="240" w:afterLines="100" w:afterAutospacing="0" w:line="440" w:lineRule="exact"/>
        <w:rPr>
          <w:rFonts w:hint="eastAsia" w:ascii="宋体" w:hAnsi="宋体" w:eastAsia="宋体" w:cs="宋体"/>
          <w:color w:val="auto"/>
          <w:sz w:val="24"/>
          <w:szCs w:val="24"/>
          <w:highlight w:val="none"/>
          <w:u w:val="single"/>
        </w:rPr>
      </w:pPr>
    </w:p>
    <w:p>
      <w:pPr>
        <w:spacing w:beforeAutospacing="0" w:after="240" w:afterLines="100"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名称）：</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（项目名称）（以下简称“本工程”）的项目经理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（项目经理姓名）现阶段没有担任任何在施建设工程项目的项目经理。</w:t>
      </w:r>
    </w:p>
    <w:p>
      <w:pPr>
        <w:keepNext w:val="0"/>
        <w:keepLines w:val="0"/>
        <w:pageBreakBefore w:val="0"/>
        <w:widowControl w:val="0"/>
        <w:kinsoku/>
        <w:overflowPunct/>
        <w:topLinePunct w:val="0"/>
        <w:bidi w:val="0"/>
        <w:adjustRightInd/>
        <w:spacing w:beforeAutospacing="0" w:afterAutospacing="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pPr>
        <w:spacing w:beforeAutospacing="0" w:afterAutospacing="0" w:line="440" w:lineRule="exact"/>
        <w:ind w:firstLine="480" w:firstLineChars="200"/>
        <w:rPr>
          <w:rFonts w:hint="eastAsia" w:ascii="宋体" w:hAnsi="宋体" w:eastAsia="宋体" w:cs="宋体"/>
          <w:color w:val="auto"/>
          <w:sz w:val="24"/>
          <w:szCs w:val="24"/>
          <w:highlight w:val="none"/>
        </w:rPr>
      </w:pPr>
    </w:p>
    <w:p>
      <w:pPr>
        <w:spacing w:beforeAutospacing="0" w:afterAutospacing="0" w:line="440" w:lineRule="exact"/>
        <w:ind w:firstLine="480" w:firstLineChars="200"/>
        <w:rPr>
          <w:rFonts w:hint="eastAsia" w:ascii="宋体" w:hAnsi="宋体" w:eastAsia="宋体" w:cs="宋体"/>
          <w:color w:val="auto"/>
          <w:sz w:val="24"/>
          <w:szCs w:val="24"/>
          <w:highlight w:val="none"/>
        </w:rPr>
      </w:pPr>
    </w:p>
    <w:p>
      <w:pPr>
        <w:spacing w:beforeAutospacing="0" w:afterAutospacing="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beforeAutospacing="0" w:afterAutospacing="0" w:line="440" w:lineRule="exact"/>
        <w:ind w:firstLine="420" w:firstLineChars="200"/>
        <w:rPr>
          <w:rFonts w:hint="eastAsia" w:ascii="宋体" w:hAnsi="宋体" w:eastAsia="宋体" w:cs="宋体"/>
          <w:color w:val="auto"/>
          <w:szCs w:val="21"/>
          <w:highlight w:val="none"/>
        </w:rPr>
      </w:pPr>
    </w:p>
    <w:p>
      <w:pPr>
        <w:spacing w:beforeAutospacing="0" w:afterAutospacing="0" w:line="440" w:lineRule="exact"/>
        <w:ind w:firstLine="420" w:firstLineChars="200"/>
        <w:rPr>
          <w:rFonts w:hint="eastAsia" w:ascii="宋体" w:hAnsi="宋体" w:eastAsia="宋体" w:cs="宋体"/>
          <w:color w:val="auto"/>
          <w:szCs w:val="21"/>
          <w:highlight w:val="none"/>
        </w:rPr>
      </w:pPr>
    </w:p>
    <w:p>
      <w:pPr>
        <w:keepNext w:val="0"/>
        <w:keepLines w:val="0"/>
        <w:pageBreakBefore w:val="0"/>
        <w:widowControl w:val="0"/>
        <w:kinsoku/>
        <w:overflowPunct/>
        <w:topLinePunct w:val="0"/>
        <w:bidi w:val="0"/>
        <w:adjustRightInd/>
        <w:spacing w:beforeAutospacing="0" w:afterAutospacing="0"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投标供应商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单位电子签章</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bidi w:val="0"/>
        <w:adjustRightInd/>
        <w:spacing w:beforeAutospacing="0" w:afterAutospacing="0"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rPr>
        <w:t>电子签名或盖章</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bidi w:val="0"/>
        <w:adjustRightInd/>
        <w:spacing w:beforeAutospacing="0" w:afterAutospacing="0"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
        <w:jc w:val="center"/>
        <w:outlineLvl w:val="1"/>
        <w:rPr>
          <w:rFonts w:hint="eastAsia" w:ascii="宋体" w:hAnsi="宋体" w:eastAsia="宋体" w:cs="宋体"/>
          <w:color w:val="auto"/>
          <w:highlight w:val="none"/>
        </w:rPr>
      </w:pPr>
      <w:bookmarkStart w:id="1381" w:name="_Toc516822679"/>
      <w:bookmarkEnd w:id="1381"/>
      <w:bookmarkStart w:id="1382" w:name="_Toc17339"/>
      <w:bookmarkEnd w:id="1382"/>
      <w:bookmarkStart w:id="1383" w:name="_Toc26942"/>
      <w:bookmarkEnd w:id="1383"/>
      <w:r>
        <w:rPr>
          <w:rFonts w:hint="eastAsia" w:ascii="宋体" w:hAnsi="宋体" w:eastAsia="宋体" w:cs="宋体"/>
          <w:color w:val="auto"/>
          <w:highlight w:val="none"/>
        </w:rPr>
        <w:br w:type="page"/>
      </w:r>
      <w:bookmarkStart w:id="1384" w:name="_Toc3992"/>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资格审查资料</w:t>
      </w:r>
      <w:bookmarkEnd w:id="1384"/>
    </w:p>
    <w:p>
      <w:pPr>
        <w:pStyle w:val="6"/>
        <w:jc w:val="center"/>
        <w:outlineLvl w:val="2"/>
        <w:rPr>
          <w:rFonts w:hint="eastAsia" w:ascii="宋体" w:hAnsi="宋体" w:eastAsia="宋体" w:cs="宋体"/>
          <w:color w:val="auto"/>
          <w:sz w:val="24"/>
          <w:szCs w:val="24"/>
          <w:highlight w:val="none"/>
        </w:rPr>
      </w:pPr>
      <w:bookmarkStart w:id="1385" w:name="_Toc516822680"/>
      <w:bookmarkEnd w:id="1385"/>
      <w:bookmarkStart w:id="1386" w:name="_Toc23991"/>
      <w:bookmarkEnd w:id="1386"/>
      <w:bookmarkStart w:id="1387" w:name="_Toc28750"/>
      <w:bookmarkEnd w:id="1387"/>
      <w:bookmarkStart w:id="1388" w:name="_Toc86"/>
      <w:bookmarkEnd w:id="1388"/>
      <w:bookmarkStart w:id="1389" w:name="_Toc16493"/>
      <w:bookmarkStart w:id="1390" w:name="_Toc22718"/>
      <w:bookmarkStart w:id="1391" w:name="_Toc30826"/>
      <w:r>
        <w:rPr>
          <w:rFonts w:hint="eastAsia" w:ascii="宋体" w:hAnsi="宋体" w:eastAsia="宋体" w:cs="宋体"/>
          <w:color w:val="auto"/>
          <w:sz w:val="24"/>
          <w:szCs w:val="24"/>
          <w:highlight w:val="none"/>
        </w:rPr>
        <w:t>（一）投标人基本情况表</w:t>
      </w:r>
      <w:bookmarkEnd w:id="1389"/>
      <w:bookmarkEnd w:id="1390"/>
      <w:bookmarkEnd w:id="139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051"/>
        <w:gridCol w:w="867"/>
        <w:gridCol w:w="1276"/>
        <w:gridCol w:w="1517"/>
        <w:gridCol w:w="184"/>
        <w:gridCol w:w="103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投标供应商</w:t>
            </w:r>
            <w:r>
              <w:rPr>
                <w:rFonts w:hint="eastAsia" w:ascii="宋体" w:hAnsi="宋体" w:eastAsia="宋体" w:cs="宋体"/>
                <w:color w:val="auto"/>
                <w:sz w:val="24"/>
                <w:szCs w:val="24"/>
                <w:highlight w:val="none"/>
              </w:rPr>
              <w:t>名称</w:t>
            </w:r>
          </w:p>
        </w:tc>
        <w:tc>
          <w:tcPr>
            <w:tcW w:w="7020" w:type="dxa"/>
            <w:gridSpan w:val="7"/>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194" w:type="dxa"/>
            <w:gridSpan w:val="3"/>
            <w:noWrap w:val="0"/>
            <w:vAlign w:val="center"/>
          </w:tcPr>
          <w:p>
            <w:pPr>
              <w:jc w:val="center"/>
              <w:rPr>
                <w:rFonts w:hint="eastAsia" w:ascii="宋体" w:hAnsi="宋体" w:eastAsia="宋体" w:cs="宋体"/>
                <w:color w:val="auto"/>
                <w:sz w:val="24"/>
                <w:szCs w:val="24"/>
                <w:highlight w:val="none"/>
              </w:rPr>
            </w:pPr>
          </w:p>
        </w:tc>
        <w:tc>
          <w:tcPr>
            <w:tcW w:w="151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309" w:type="dxa"/>
            <w:gridSpan w:val="3"/>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5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143" w:type="dxa"/>
            <w:gridSpan w:val="2"/>
            <w:noWrap w:val="0"/>
            <w:vAlign w:val="center"/>
          </w:tcPr>
          <w:p>
            <w:pPr>
              <w:jc w:val="center"/>
              <w:rPr>
                <w:rFonts w:hint="eastAsia" w:ascii="宋体" w:hAnsi="宋体" w:eastAsia="宋体" w:cs="宋体"/>
                <w:color w:val="auto"/>
                <w:sz w:val="24"/>
                <w:szCs w:val="24"/>
                <w:highlight w:val="none"/>
              </w:rPr>
            </w:pPr>
          </w:p>
        </w:tc>
        <w:tc>
          <w:tcPr>
            <w:tcW w:w="151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309" w:type="dxa"/>
            <w:gridSpan w:val="3"/>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Merge w:val="continue"/>
            <w:noWrap w:val="0"/>
            <w:vAlign w:val="center"/>
          </w:tcPr>
          <w:p>
            <w:pPr>
              <w:jc w:val="center"/>
              <w:rPr>
                <w:rFonts w:hint="eastAsia" w:ascii="宋体" w:hAnsi="宋体" w:eastAsia="宋体" w:cs="宋体"/>
                <w:color w:val="auto"/>
                <w:sz w:val="24"/>
                <w:szCs w:val="24"/>
                <w:highlight w:val="none"/>
              </w:rPr>
            </w:pPr>
          </w:p>
        </w:tc>
        <w:tc>
          <w:tcPr>
            <w:tcW w:w="105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143" w:type="dxa"/>
            <w:gridSpan w:val="2"/>
            <w:noWrap w:val="0"/>
            <w:vAlign w:val="center"/>
          </w:tcPr>
          <w:p>
            <w:pPr>
              <w:jc w:val="center"/>
              <w:rPr>
                <w:rFonts w:hint="eastAsia" w:ascii="宋体" w:hAnsi="宋体" w:eastAsia="宋体" w:cs="宋体"/>
                <w:color w:val="auto"/>
                <w:sz w:val="24"/>
                <w:szCs w:val="24"/>
                <w:highlight w:val="none"/>
              </w:rPr>
            </w:pPr>
          </w:p>
        </w:tc>
        <w:tc>
          <w:tcPr>
            <w:tcW w:w="151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309" w:type="dxa"/>
            <w:gridSpan w:val="3"/>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020" w:type="dxa"/>
            <w:gridSpan w:val="7"/>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5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67" w:type="dxa"/>
            <w:noWrap w:val="0"/>
            <w:vAlign w:val="center"/>
          </w:tcPr>
          <w:p>
            <w:pPr>
              <w:jc w:val="center"/>
              <w:rPr>
                <w:rFonts w:hint="eastAsia" w:ascii="宋体" w:hAnsi="宋体" w:eastAsia="宋体" w:cs="宋体"/>
                <w:color w:val="auto"/>
                <w:sz w:val="24"/>
                <w:szCs w:val="24"/>
                <w:highlight w:val="none"/>
              </w:rPr>
            </w:pPr>
          </w:p>
        </w:tc>
        <w:tc>
          <w:tcPr>
            <w:tcW w:w="127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701" w:type="dxa"/>
            <w:gridSpan w:val="2"/>
            <w:noWrap w:val="0"/>
            <w:vAlign w:val="center"/>
          </w:tcPr>
          <w:p>
            <w:pPr>
              <w:jc w:val="center"/>
              <w:rPr>
                <w:rFonts w:hint="eastAsia" w:ascii="宋体" w:hAnsi="宋体" w:eastAsia="宋体" w:cs="宋体"/>
                <w:color w:val="auto"/>
                <w:sz w:val="24"/>
                <w:szCs w:val="24"/>
                <w:highlight w:val="none"/>
              </w:rPr>
            </w:pPr>
          </w:p>
        </w:tc>
        <w:tc>
          <w:tcPr>
            <w:tcW w:w="103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5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67" w:type="dxa"/>
            <w:noWrap w:val="0"/>
            <w:vAlign w:val="center"/>
          </w:tcPr>
          <w:p>
            <w:pPr>
              <w:jc w:val="center"/>
              <w:rPr>
                <w:rFonts w:hint="eastAsia" w:ascii="宋体" w:hAnsi="宋体" w:eastAsia="宋体" w:cs="宋体"/>
                <w:color w:val="auto"/>
                <w:sz w:val="24"/>
                <w:szCs w:val="24"/>
                <w:highlight w:val="none"/>
              </w:rPr>
            </w:pPr>
          </w:p>
        </w:tc>
        <w:tc>
          <w:tcPr>
            <w:tcW w:w="1276"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701" w:type="dxa"/>
            <w:gridSpan w:val="2"/>
            <w:noWrap w:val="0"/>
            <w:vAlign w:val="center"/>
          </w:tcPr>
          <w:p>
            <w:pPr>
              <w:jc w:val="center"/>
              <w:rPr>
                <w:rFonts w:hint="eastAsia" w:ascii="宋体" w:hAnsi="宋体" w:eastAsia="宋体" w:cs="宋体"/>
                <w:color w:val="auto"/>
                <w:sz w:val="24"/>
                <w:szCs w:val="24"/>
                <w:highlight w:val="none"/>
              </w:rPr>
            </w:pPr>
          </w:p>
        </w:tc>
        <w:tc>
          <w:tcPr>
            <w:tcW w:w="103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918" w:type="dxa"/>
            <w:gridSpan w:val="2"/>
            <w:noWrap w:val="0"/>
            <w:vAlign w:val="center"/>
          </w:tcPr>
          <w:p>
            <w:pPr>
              <w:jc w:val="center"/>
              <w:rPr>
                <w:rFonts w:hint="eastAsia" w:ascii="宋体" w:hAnsi="宋体" w:eastAsia="宋体" w:cs="宋体"/>
                <w:color w:val="auto"/>
                <w:sz w:val="24"/>
                <w:szCs w:val="24"/>
                <w:highlight w:val="none"/>
              </w:rPr>
            </w:pPr>
          </w:p>
        </w:tc>
        <w:tc>
          <w:tcPr>
            <w:tcW w:w="5102" w:type="dxa"/>
            <w:gridSpan w:val="5"/>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918" w:type="dxa"/>
            <w:gridSpan w:val="2"/>
            <w:noWrap w:val="0"/>
            <w:vAlign w:val="center"/>
          </w:tcPr>
          <w:p>
            <w:pPr>
              <w:jc w:val="center"/>
              <w:rPr>
                <w:rFonts w:hint="eastAsia" w:ascii="宋体" w:hAnsi="宋体" w:eastAsia="宋体" w:cs="宋体"/>
                <w:color w:val="auto"/>
                <w:sz w:val="24"/>
                <w:szCs w:val="24"/>
                <w:highlight w:val="none"/>
              </w:rPr>
            </w:pPr>
          </w:p>
        </w:tc>
        <w:tc>
          <w:tcPr>
            <w:tcW w:w="1276"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701"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125" w:type="dxa"/>
            <w:gridSpan w:val="2"/>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918" w:type="dxa"/>
            <w:gridSpan w:val="2"/>
            <w:vMerge w:val="restar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276" w:type="dxa"/>
            <w:vMerge w:val="continue"/>
            <w:noWrap w:val="0"/>
            <w:vAlign w:val="center"/>
          </w:tcPr>
          <w:p>
            <w:pPr>
              <w:jc w:val="center"/>
              <w:rPr>
                <w:rFonts w:hint="eastAsia" w:ascii="宋体" w:hAnsi="宋体" w:eastAsia="宋体" w:cs="宋体"/>
                <w:color w:val="auto"/>
                <w:sz w:val="24"/>
                <w:szCs w:val="24"/>
                <w:highlight w:val="none"/>
              </w:rPr>
            </w:pPr>
          </w:p>
        </w:tc>
        <w:tc>
          <w:tcPr>
            <w:tcW w:w="1701"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125" w:type="dxa"/>
            <w:gridSpan w:val="2"/>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34" w:type="dxa"/>
            <w:vMerge w:val="continue"/>
            <w:noWrap w:val="0"/>
            <w:vAlign w:val="center"/>
          </w:tcPr>
          <w:p>
            <w:pPr>
              <w:jc w:val="center"/>
              <w:rPr>
                <w:rFonts w:hint="eastAsia" w:ascii="宋体" w:hAnsi="宋体" w:eastAsia="宋体" w:cs="宋体"/>
                <w:color w:val="auto"/>
                <w:sz w:val="24"/>
                <w:szCs w:val="24"/>
                <w:highlight w:val="none"/>
              </w:rPr>
            </w:pPr>
          </w:p>
        </w:tc>
        <w:tc>
          <w:tcPr>
            <w:tcW w:w="1918" w:type="dxa"/>
            <w:gridSpan w:val="2"/>
            <w:vMerge w:val="continue"/>
            <w:noWrap w:val="0"/>
            <w:vAlign w:val="center"/>
          </w:tcPr>
          <w:p>
            <w:pPr>
              <w:jc w:val="center"/>
              <w:rPr>
                <w:rFonts w:hint="eastAsia" w:ascii="宋体" w:hAnsi="宋体" w:eastAsia="宋体" w:cs="宋体"/>
                <w:color w:val="auto"/>
                <w:sz w:val="24"/>
                <w:szCs w:val="24"/>
                <w:highlight w:val="none"/>
              </w:rPr>
            </w:pPr>
          </w:p>
        </w:tc>
        <w:tc>
          <w:tcPr>
            <w:tcW w:w="1276" w:type="dxa"/>
            <w:vMerge w:val="continue"/>
            <w:noWrap w:val="0"/>
            <w:vAlign w:val="center"/>
          </w:tcPr>
          <w:p>
            <w:pPr>
              <w:jc w:val="center"/>
              <w:rPr>
                <w:rFonts w:hint="eastAsia" w:ascii="宋体" w:hAnsi="宋体" w:eastAsia="宋体" w:cs="宋体"/>
                <w:color w:val="auto"/>
                <w:sz w:val="24"/>
                <w:szCs w:val="24"/>
                <w:highlight w:val="none"/>
              </w:rPr>
            </w:pPr>
          </w:p>
        </w:tc>
        <w:tc>
          <w:tcPr>
            <w:tcW w:w="1701" w:type="dxa"/>
            <w:gridSpan w:val="2"/>
            <w:vMerge w:val="restar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125" w:type="dxa"/>
            <w:gridSpan w:val="2"/>
            <w:vMerge w:val="restart"/>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安全生产许可证有效期</w:t>
            </w:r>
          </w:p>
        </w:tc>
        <w:tc>
          <w:tcPr>
            <w:tcW w:w="1918" w:type="dxa"/>
            <w:gridSpan w:val="2"/>
            <w:noWrap w:val="0"/>
            <w:vAlign w:val="center"/>
          </w:tcPr>
          <w:p>
            <w:pPr>
              <w:jc w:val="center"/>
              <w:rPr>
                <w:rFonts w:hint="eastAsia" w:ascii="宋体" w:hAnsi="宋体" w:eastAsia="宋体" w:cs="宋体"/>
                <w:color w:val="auto"/>
                <w:sz w:val="24"/>
                <w:szCs w:val="24"/>
                <w:highlight w:val="none"/>
              </w:rPr>
            </w:pPr>
          </w:p>
        </w:tc>
        <w:tc>
          <w:tcPr>
            <w:tcW w:w="1276" w:type="dxa"/>
            <w:vMerge w:val="continue"/>
            <w:noWrap w:val="0"/>
            <w:vAlign w:val="center"/>
          </w:tcPr>
          <w:p>
            <w:pPr>
              <w:jc w:val="center"/>
              <w:rPr>
                <w:rFonts w:hint="eastAsia" w:ascii="宋体" w:hAnsi="宋体" w:eastAsia="宋体" w:cs="宋体"/>
                <w:color w:val="auto"/>
                <w:sz w:val="24"/>
                <w:szCs w:val="24"/>
                <w:highlight w:val="none"/>
              </w:rPr>
            </w:pPr>
          </w:p>
        </w:tc>
        <w:tc>
          <w:tcPr>
            <w:tcW w:w="1701" w:type="dxa"/>
            <w:gridSpan w:val="2"/>
            <w:vMerge w:val="continue"/>
            <w:noWrap w:val="0"/>
            <w:vAlign w:val="center"/>
          </w:tcPr>
          <w:p>
            <w:pPr>
              <w:jc w:val="center"/>
              <w:rPr>
                <w:rFonts w:hint="eastAsia" w:ascii="宋体" w:hAnsi="宋体" w:eastAsia="宋体" w:cs="宋体"/>
                <w:color w:val="auto"/>
                <w:sz w:val="24"/>
                <w:szCs w:val="24"/>
                <w:highlight w:val="none"/>
              </w:rPr>
            </w:pPr>
          </w:p>
        </w:tc>
        <w:tc>
          <w:tcPr>
            <w:tcW w:w="2125" w:type="dxa"/>
            <w:gridSpan w:val="2"/>
            <w:vMerge w:val="continue"/>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918" w:type="dxa"/>
            <w:gridSpan w:val="2"/>
            <w:noWrap w:val="0"/>
            <w:vAlign w:val="center"/>
          </w:tcPr>
          <w:p>
            <w:pPr>
              <w:jc w:val="center"/>
              <w:rPr>
                <w:rFonts w:hint="eastAsia" w:ascii="宋体" w:hAnsi="宋体" w:eastAsia="宋体" w:cs="宋体"/>
                <w:color w:val="auto"/>
                <w:sz w:val="24"/>
                <w:szCs w:val="24"/>
                <w:highlight w:val="none"/>
              </w:rPr>
            </w:pPr>
          </w:p>
        </w:tc>
        <w:tc>
          <w:tcPr>
            <w:tcW w:w="1276" w:type="dxa"/>
            <w:vMerge w:val="continue"/>
            <w:noWrap w:val="0"/>
            <w:vAlign w:val="center"/>
          </w:tcPr>
          <w:p>
            <w:pPr>
              <w:jc w:val="center"/>
              <w:rPr>
                <w:rFonts w:hint="eastAsia" w:ascii="宋体" w:hAnsi="宋体" w:eastAsia="宋体" w:cs="宋体"/>
                <w:color w:val="auto"/>
                <w:sz w:val="24"/>
                <w:szCs w:val="24"/>
                <w:highlight w:val="none"/>
              </w:rPr>
            </w:pPr>
          </w:p>
        </w:tc>
        <w:tc>
          <w:tcPr>
            <w:tcW w:w="1701"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125" w:type="dxa"/>
            <w:gridSpan w:val="2"/>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918" w:type="dxa"/>
            <w:gridSpan w:val="2"/>
            <w:noWrap w:val="0"/>
            <w:vAlign w:val="center"/>
          </w:tcPr>
          <w:p>
            <w:pPr>
              <w:jc w:val="center"/>
              <w:rPr>
                <w:rFonts w:hint="eastAsia" w:ascii="宋体" w:hAnsi="宋体" w:eastAsia="宋体" w:cs="宋体"/>
                <w:color w:val="auto"/>
                <w:sz w:val="24"/>
                <w:szCs w:val="24"/>
                <w:highlight w:val="none"/>
              </w:rPr>
            </w:pPr>
          </w:p>
        </w:tc>
        <w:tc>
          <w:tcPr>
            <w:tcW w:w="1276" w:type="dxa"/>
            <w:vMerge w:val="continue"/>
            <w:noWrap w:val="0"/>
            <w:vAlign w:val="center"/>
          </w:tcPr>
          <w:p>
            <w:pPr>
              <w:jc w:val="center"/>
              <w:rPr>
                <w:rFonts w:hint="eastAsia" w:ascii="宋体" w:hAnsi="宋体" w:eastAsia="宋体" w:cs="宋体"/>
                <w:color w:val="auto"/>
                <w:sz w:val="24"/>
                <w:szCs w:val="24"/>
                <w:highlight w:val="none"/>
              </w:rPr>
            </w:pPr>
          </w:p>
        </w:tc>
        <w:tc>
          <w:tcPr>
            <w:tcW w:w="1701"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125" w:type="dxa"/>
            <w:gridSpan w:val="2"/>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918" w:type="dxa"/>
            <w:gridSpan w:val="2"/>
            <w:noWrap w:val="0"/>
            <w:vAlign w:val="center"/>
          </w:tcPr>
          <w:p>
            <w:pPr>
              <w:jc w:val="center"/>
              <w:rPr>
                <w:rFonts w:hint="eastAsia" w:ascii="宋体" w:hAnsi="宋体" w:eastAsia="宋体" w:cs="宋体"/>
                <w:color w:val="auto"/>
                <w:sz w:val="24"/>
                <w:szCs w:val="24"/>
                <w:highlight w:val="none"/>
              </w:rPr>
            </w:pPr>
          </w:p>
        </w:tc>
        <w:tc>
          <w:tcPr>
            <w:tcW w:w="1276" w:type="dxa"/>
            <w:vMerge w:val="continue"/>
            <w:noWrap w:val="0"/>
            <w:vAlign w:val="center"/>
          </w:tcPr>
          <w:p>
            <w:pPr>
              <w:jc w:val="center"/>
              <w:rPr>
                <w:rFonts w:hint="eastAsia" w:ascii="宋体" w:hAnsi="宋体" w:eastAsia="宋体" w:cs="宋体"/>
                <w:color w:val="auto"/>
                <w:sz w:val="24"/>
                <w:szCs w:val="24"/>
                <w:highlight w:val="none"/>
              </w:rPr>
            </w:pPr>
          </w:p>
        </w:tc>
        <w:tc>
          <w:tcPr>
            <w:tcW w:w="1701"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拟派项目经理姓名</w:t>
            </w:r>
          </w:p>
        </w:tc>
        <w:tc>
          <w:tcPr>
            <w:tcW w:w="2125" w:type="dxa"/>
            <w:gridSpan w:val="2"/>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020" w:type="dxa"/>
            <w:gridSpan w:val="7"/>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020" w:type="dxa"/>
            <w:gridSpan w:val="7"/>
            <w:noWrap w:val="0"/>
            <w:vAlign w:val="center"/>
          </w:tcPr>
          <w:p>
            <w:pPr>
              <w:jc w:val="center"/>
              <w:rPr>
                <w:rFonts w:hint="eastAsia" w:ascii="宋体" w:hAnsi="宋体" w:eastAsia="宋体" w:cs="宋体"/>
                <w:color w:val="auto"/>
                <w:sz w:val="24"/>
                <w:szCs w:val="24"/>
                <w:highlight w:val="none"/>
              </w:rPr>
            </w:pPr>
          </w:p>
        </w:tc>
      </w:tr>
    </w:tbl>
    <w:p>
      <w:pPr>
        <w:numPr>
          <w:ilvl w:val="0"/>
          <w:numId w:val="0"/>
        </w:numPr>
        <w:spacing w:beforeAutospacing="0" w:afterAutospacing="0" w:line="360" w:lineRule="auto"/>
        <w:rPr>
          <w:rFonts w:hint="eastAsia" w:ascii="宋体" w:hAnsi="宋体" w:eastAsia="宋体" w:cs="宋体"/>
          <w:b/>
          <w:bCs/>
          <w:color w:val="auto"/>
          <w:sz w:val="24"/>
          <w:szCs w:val="24"/>
          <w:highlight w:val="none"/>
        </w:rPr>
      </w:pPr>
    </w:p>
    <w:p>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注：1.投标人应根据投标人须知“投标人资格要求”在本表后附供应商信用承诺函。</w:t>
      </w:r>
    </w:p>
    <w:p>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pPr>
        <w:pStyle w:val="24"/>
        <w:rPr>
          <w:rFonts w:hint="eastAsia"/>
          <w:lang w:eastAsia="zh-CN"/>
        </w:rPr>
        <w:sectPr>
          <w:pgSz w:w="11906" w:h="16838"/>
          <w:pgMar w:top="1588" w:right="1701" w:bottom="1418" w:left="1701" w:header="851" w:footer="851" w:gutter="0"/>
          <w:pgNumType w:fmt="decimal"/>
          <w:cols w:space="720" w:num="1"/>
          <w:docGrid w:linePitch="312" w:charSpace="0"/>
        </w:sectPr>
      </w:pPr>
    </w:p>
    <w:p>
      <w:pPr>
        <w:widowControl/>
        <w:spacing w:line="400" w:lineRule="exact"/>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附件：</w:t>
      </w:r>
    </w:p>
    <w:p>
      <w:pPr>
        <w:widowControl/>
        <w:spacing w:line="400" w:lineRule="exact"/>
        <w:ind w:firstLine="0" w:firstLineChars="0"/>
        <w:jc w:val="center"/>
        <w:rPr>
          <w:rFonts w:ascii="宋体" w:hAnsi="宋体" w:eastAsia="宋体" w:cs="宋体"/>
          <w:kern w:val="0"/>
          <w:sz w:val="24"/>
          <w:szCs w:val="24"/>
        </w:rPr>
      </w:pPr>
      <w:r>
        <w:rPr>
          <w:rFonts w:hint="eastAsia" w:ascii="宋体" w:hAnsi="宋体" w:eastAsia="宋体" w:cs="宋体"/>
          <w:b/>
          <w:bCs/>
          <w:kern w:val="0"/>
          <w:sz w:val="24"/>
          <w:szCs w:val="24"/>
          <w:lang w:eastAsia="zh-CN"/>
        </w:rPr>
        <w:t>息县</w:t>
      </w:r>
      <w:r>
        <w:rPr>
          <w:rFonts w:hint="eastAsia" w:ascii="宋体" w:hAnsi="宋体" w:eastAsia="宋体" w:cs="宋体"/>
          <w:b/>
          <w:bCs/>
          <w:kern w:val="0"/>
          <w:sz w:val="24"/>
          <w:szCs w:val="24"/>
        </w:rPr>
        <w:t>政府采购供应商信用承诺函</w:t>
      </w:r>
    </w:p>
    <w:p>
      <w:pPr>
        <w:widowControl/>
        <w:spacing w:line="400" w:lineRule="exact"/>
        <w:ind w:firstLine="480"/>
        <w:jc w:val="left"/>
        <w:rPr>
          <w:rFonts w:ascii="宋体" w:hAnsi="宋体" w:eastAsia="宋体" w:cs="宋体"/>
          <w:kern w:val="0"/>
          <w:sz w:val="24"/>
          <w:szCs w:val="24"/>
        </w:rPr>
      </w:pP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（采购人或采购代理机构）：                 </w:t>
      </w: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单位名称（自然人姓名）：</w:t>
      </w:r>
      <w:r>
        <w:rPr>
          <w:rFonts w:hint="eastAsia" w:ascii="宋体" w:hAnsi="宋体" w:eastAsia="宋体" w:cs="宋体"/>
          <w:kern w:val="0"/>
          <w:sz w:val="24"/>
          <w:szCs w:val="24"/>
          <w:u w:val="single"/>
        </w:rPr>
        <w:t xml:space="preserve">                    </w:t>
      </w: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统一社会信用代码（身份证号码）：</w:t>
      </w:r>
      <w:r>
        <w:rPr>
          <w:rFonts w:hint="eastAsia" w:ascii="宋体" w:hAnsi="宋体" w:eastAsia="宋体" w:cs="宋体"/>
          <w:kern w:val="0"/>
          <w:sz w:val="24"/>
          <w:szCs w:val="24"/>
          <w:u w:val="single"/>
        </w:rPr>
        <w:t xml:space="preserve">                </w:t>
      </w: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法定代表人（负责人）：</w:t>
      </w:r>
      <w:r>
        <w:rPr>
          <w:rFonts w:hint="eastAsia" w:ascii="宋体" w:hAnsi="宋体" w:eastAsia="宋体" w:cs="宋体"/>
          <w:kern w:val="0"/>
          <w:sz w:val="24"/>
          <w:szCs w:val="24"/>
          <w:u w:val="single"/>
        </w:rPr>
        <w:t xml:space="preserve">                </w:t>
      </w:r>
    </w:p>
    <w:p>
      <w:pPr>
        <w:widowControl/>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联系地址和电话</w:t>
      </w:r>
      <w:r>
        <w:rPr>
          <w:rFonts w:hint="eastAsia" w:ascii="宋体" w:hAnsi="宋体" w:eastAsia="宋体" w:cs="宋体"/>
          <w:kern w:val="0"/>
          <w:sz w:val="24"/>
          <w:szCs w:val="24"/>
          <w:u w:val="single"/>
        </w:rPr>
        <w:t xml:space="preserve">：                    </w:t>
      </w:r>
    </w:p>
    <w:p>
      <w:pPr>
        <w:widowControl/>
        <w:spacing w:line="500" w:lineRule="exact"/>
        <w:ind w:firstLine="480"/>
        <w:jc w:val="left"/>
        <w:rPr>
          <w:rFonts w:ascii="宋体" w:hAnsi="宋体" w:eastAsia="宋体" w:cs="宋体"/>
          <w:kern w:val="0"/>
          <w:sz w:val="24"/>
          <w:szCs w:val="24"/>
        </w:rPr>
      </w:pPr>
    </w:p>
    <w:p>
      <w:pPr>
        <w:widowControl/>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为维护公平、公正、公开的政府采购市场秩序，树立诚实守信的政府采购供应商形象，我单位（本人）自愿作出以下承诺：</w:t>
      </w:r>
    </w:p>
    <w:p>
      <w:pPr>
        <w:widowControl/>
        <w:numPr>
          <w:ilvl w:val="0"/>
          <w:numId w:val="6"/>
        </w:numPr>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widowControl/>
        <w:numPr>
          <w:ilvl w:val="0"/>
          <w:numId w:val="7"/>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具有独立承担民事责任的能力；</w:t>
      </w:r>
    </w:p>
    <w:p>
      <w:pPr>
        <w:widowControl/>
        <w:numPr>
          <w:ilvl w:val="0"/>
          <w:numId w:val="7"/>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具有良好的商业信誉和健全的财务会计制度； </w:t>
      </w:r>
    </w:p>
    <w:p>
      <w:pPr>
        <w:widowControl/>
        <w:numPr>
          <w:ilvl w:val="0"/>
          <w:numId w:val="7"/>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具有履行合同所必需的设备和专业技术能力；</w:t>
      </w:r>
    </w:p>
    <w:p>
      <w:pPr>
        <w:widowControl/>
        <w:numPr>
          <w:ilvl w:val="0"/>
          <w:numId w:val="7"/>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有依法缴纳税收和社会保障资金的良好记录； </w:t>
      </w:r>
    </w:p>
    <w:p>
      <w:pPr>
        <w:widowControl/>
        <w:numPr>
          <w:ilvl w:val="0"/>
          <w:numId w:val="7"/>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参加政府采购活动前三年内，在经营活动中没有重大违法记录； </w:t>
      </w:r>
    </w:p>
    <w:p>
      <w:pPr>
        <w:widowControl/>
        <w:numPr>
          <w:ilvl w:val="0"/>
          <w:numId w:val="7"/>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未被列入经营异常名录或者严重违法失信名单、失信被执行人、重大税收违法案件当事人名单、政府采购严重违法失信行为记录名单；</w:t>
      </w:r>
    </w:p>
    <w:p>
      <w:pPr>
        <w:widowControl/>
        <w:numPr>
          <w:ilvl w:val="0"/>
          <w:numId w:val="7"/>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未被相关监管部门作出行政处罚且尚在处罚有效期内； </w:t>
      </w:r>
    </w:p>
    <w:p>
      <w:pPr>
        <w:widowControl/>
        <w:numPr>
          <w:ilvl w:val="0"/>
          <w:numId w:val="7"/>
        </w:numPr>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 xml:space="preserve">未曾做出虚假采购承诺； </w:t>
      </w:r>
    </w:p>
    <w:p>
      <w:pPr>
        <w:widowControl/>
        <w:spacing w:line="500" w:lineRule="exact"/>
        <w:ind w:left="0" w:leftChars="0"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（九）符合法律、行政法规规定的其他条件。</w:t>
      </w:r>
    </w:p>
    <w:p>
      <w:pPr>
        <w:widowControl/>
        <w:numPr>
          <w:ilvl w:val="0"/>
          <w:numId w:val="6"/>
        </w:numPr>
        <w:spacing w:line="50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widowControl/>
        <w:spacing w:line="500" w:lineRule="exact"/>
        <w:ind w:firstLine="480"/>
        <w:jc w:val="left"/>
        <w:rPr>
          <w:rFonts w:ascii="宋体" w:hAnsi="宋体" w:eastAsia="宋体" w:cs="宋体"/>
          <w:kern w:val="0"/>
          <w:sz w:val="24"/>
          <w:szCs w:val="24"/>
        </w:rPr>
      </w:pP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widowControl/>
        <w:spacing w:line="50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500" w:lineRule="exact"/>
        <w:ind w:firstLine="240" w:firstLineChars="100"/>
        <w:jc w:val="left"/>
        <w:rPr>
          <w:rFonts w:ascii="宋体" w:hAnsi="宋体" w:eastAsia="宋体" w:cs="宋体"/>
          <w:kern w:val="0"/>
          <w:sz w:val="24"/>
          <w:szCs w:val="24"/>
        </w:rPr>
      </w:pPr>
    </w:p>
    <w:p>
      <w:pPr>
        <w:widowControl/>
        <w:spacing w:line="50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注：1、投标供应商须在投标文件中按此模板提供承诺函，未提供视为未实质性响应招标文件要求，按无效投标处理。</w:t>
      </w:r>
    </w:p>
    <w:p>
      <w:pPr>
        <w:widowControl/>
        <w:spacing w:line="500" w:lineRule="exact"/>
        <w:ind w:firstLine="840" w:firstLineChars="350"/>
        <w:jc w:val="left"/>
        <w:rPr>
          <w:rFonts w:ascii="宋体" w:hAnsi="宋体" w:eastAsia="宋体" w:cs="宋体"/>
          <w:sz w:val="24"/>
          <w:szCs w:val="24"/>
        </w:rPr>
      </w:pPr>
      <w:r>
        <w:rPr>
          <w:rFonts w:hint="eastAsia" w:ascii="宋体" w:hAnsi="宋体" w:eastAsia="宋体" w:cs="宋体"/>
          <w:kern w:val="0"/>
          <w:sz w:val="24"/>
          <w:szCs w:val="24"/>
        </w:rPr>
        <w:t>2、投标供应商的法定代表人或者授权代表的签字或盖章应真实、有效，如由授权代表签字或盖章的，应提供“法定代表人授权书”。</w:t>
      </w:r>
    </w:p>
    <w:p>
      <w:pPr>
        <w:pStyle w:val="25"/>
        <w:rPr>
          <w:rFonts w:hint="eastAsia"/>
          <w:lang w:eastAsia="zh-CN"/>
        </w:rPr>
        <w:sectPr>
          <w:pgSz w:w="11906" w:h="16838"/>
          <w:pgMar w:top="1588" w:right="1701" w:bottom="1418" w:left="1701" w:header="851" w:footer="851" w:gutter="0"/>
          <w:pgNumType w:fmt="decimal"/>
          <w:cols w:space="720" w:num="1"/>
          <w:docGrid w:linePitch="312" w:charSpace="0"/>
        </w:sectPr>
      </w:pPr>
    </w:p>
    <w:p>
      <w:pPr>
        <w:rPr>
          <w:rFonts w:hint="eastAsia"/>
          <w:lang w:eastAsia="zh-CN"/>
        </w:rPr>
      </w:pPr>
    </w:p>
    <w:p>
      <w:pPr>
        <w:pStyle w:val="6"/>
        <w:jc w:val="center"/>
        <w:outlineLvl w:val="2"/>
        <w:rPr>
          <w:rFonts w:hint="eastAsia" w:ascii="宋体" w:hAnsi="宋体" w:eastAsia="宋体" w:cs="宋体"/>
          <w:color w:val="auto"/>
          <w:sz w:val="24"/>
          <w:szCs w:val="24"/>
          <w:highlight w:val="none"/>
        </w:rPr>
      </w:pPr>
      <w:bookmarkStart w:id="1392" w:name="_Toc516822681"/>
      <w:bookmarkEnd w:id="1392"/>
      <w:bookmarkStart w:id="1393" w:name="_Toc32550"/>
      <w:bookmarkEnd w:id="1393"/>
      <w:bookmarkStart w:id="1394" w:name="_Toc15043"/>
      <w:bookmarkEnd w:id="1394"/>
      <w:bookmarkStart w:id="1395" w:name="_Toc9976"/>
      <w:bookmarkEnd w:id="1395"/>
      <w:bookmarkStart w:id="1396" w:name="_Toc7844"/>
      <w:bookmarkStart w:id="1397" w:name="_Toc28743"/>
      <w:bookmarkStart w:id="1398" w:name="_Toc600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）近年完成的类似项目情况表</w:t>
      </w:r>
      <w:bookmarkEnd w:id="1396"/>
      <w:bookmarkEnd w:id="1397"/>
      <w:bookmarkEnd w:id="1398"/>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094"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094" w:type="dxa"/>
            <w:noWrap w:val="0"/>
            <w:vAlign w:val="center"/>
          </w:tcPr>
          <w:p>
            <w:pPr>
              <w:jc w:val="center"/>
              <w:rPr>
                <w:rFonts w:hint="eastAsia" w:ascii="宋体" w:hAnsi="宋体" w:eastAsia="宋体" w:cs="宋体"/>
                <w:color w:val="auto"/>
                <w:sz w:val="24"/>
                <w:szCs w:val="24"/>
                <w:highlight w:val="none"/>
              </w:rPr>
            </w:pPr>
          </w:p>
        </w:tc>
      </w:tr>
    </w:tbl>
    <w:p>
      <w:pPr>
        <w:keepNext w:val="0"/>
        <w:keepLines w:val="0"/>
        <w:pageBreakBefore w:val="0"/>
        <w:widowControl w:val="0"/>
        <w:kinsoku/>
        <w:overflowPunct/>
        <w:topLinePunct w:val="0"/>
        <w:bidi w:val="0"/>
        <w:adjustRightInd/>
        <w:spacing w:beforeAutospacing="0" w:afterAutospacing="0" w:line="500" w:lineRule="exact"/>
        <w:ind w:left="630" w:hanging="720" w:hangingChars="300"/>
        <w:textAlignment w:val="auto"/>
        <w:rPr>
          <w:rFonts w:hint="eastAsia" w:ascii="宋体" w:hAnsi="宋体" w:eastAsia="宋体" w:cs="宋体"/>
          <w:b w:val="0"/>
          <w:bCs w:val="0"/>
          <w:color w:val="auto"/>
          <w:sz w:val="24"/>
          <w:szCs w:val="24"/>
          <w:highlight w:val="none"/>
        </w:rPr>
      </w:pPr>
      <w:bookmarkStart w:id="1399" w:name="_Toc516822682"/>
      <w:r>
        <w:rPr>
          <w:rFonts w:hint="eastAsia" w:ascii="宋体" w:hAnsi="宋体" w:eastAsia="宋体" w:cs="宋体"/>
          <w:color w:val="auto"/>
          <w:sz w:val="24"/>
          <w:szCs w:val="24"/>
          <w:highlight w:val="none"/>
        </w:rPr>
        <w:t>备注：</w:t>
      </w:r>
      <w:r>
        <w:rPr>
          <w:rFonts w:hint="eastAsia" w:ascii="宋体" w:hAnsi="宋体" w:eastAsia="宋体" w:cs="宋体"/>
          <w:b w:val="0"/>
          <w:bCs w:val="0"/>
          <w:color w:val="auto"/>
          <w:sz w:val="24"/>
          <w:szCs w:val="24"/>
          <w:highlight w:val="none"/>
        </w:rPr>
        <w:t>1、类似项目指项目</w:t>
      </w:r>
      <w:r>
        <w:rPr>
          <w:rFonts w:hint="eastAsia" w:ascii="宋体" w:hAnsi="宋体" w:eastAsia="宋体" w:cs="宋体"/>
          <w:b w:val="0"/>
          <w:bCs w:val="0"/>
          <w:color w:val="auto"/>
          <w:sz w:val="24"/>
          <w:szCs w:val="24"/>
          <w:highlight w:val="none"/>
          <w:lang w:val="en-US" w:eastAsia="zh-CN"/>
        </w:rPr>
        <w:t>见</w:t>
      </w:r>
      <w:r>
        <w:rPr>
          <w:rFonts w:hint="eastAsia" w:ascii="宋体" w:hAnsi="宋体" w:eastAsia="宋体" w:cs="宋体"/>
          <w:b w:val="0"/>
          <w:bCs w:val="0"/>
          <w:color w:val="auto"/>
          <w:sz w:val="24"/>
          <w:szCs w:val="24"/>
          <w:highlight w:val="none"/>
          <w:u w:val="none"/>
          <w:lang w:val="en-US" w:eastAsia="zh-CN"/>
        </w:rPr>
        <w:t>投标人须知前附表10.1.1。</w:t>
      </w:r>
    </w:p>
    <w:p>
      <w:pPr>
        <w:keepNext w:val="0"/>
        <w:keepLines w:val="0"/>
        <w:pageBreakBefore w:val="0"/>
        <w:widowControl w:val="0"/>
        <w:numPr>
          <w:ilvl w:val="0"/>
          <w:numId w:val="8"/>
        </w:numPr>
        <w:kinsoku/>
        <w:overflowPunct/>
        <w:topLinePunct w:val="0"/>
        <w:bidi w:val="0"/>
        <w:adjustRightInd/>
        <w:spacing w:beforeAutospacing="0" w:afterAutospacing="0" w:line="500" w:lineRule="exact"/>
        <w:ind w:firstLine="720" w:firstLineChars="3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本表后附</w:t>
      </w:r>
      <w:r>
        <w:rPr>
          <w:rFonts w:hint="eastAsia" w:ascii="宋体" w:hAnsi="宋体" w:cs="宋体"/>
          <w:b w:val="0"/>
          <w:bCs w:val="0"/>
          <w:color w:val="auto"/>
          <w:sz w:val="24"/>
          <w:szCs w:val="24"/>
          <w:highlight w:val="none"/>
          <w:lang w:val="en-US" w:eastAsia="zh-CN"/>
        </w:rPr>
        <w:t>资料详见“第三章 评标办法”</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w:t>
      </w:r>
    </w:p>
    <w:p>
      <w:pPr>
        <w:keepNext w:val="0"/>
        <w:keepLines w:val="0"/>
        <w:pageBreakBefore w:val="0"/>
        <w:widowControl w:val="0"/>
        <w:numPr>
          <w:ilvl w:val="0"/>
          <w:numId w:val="8"/>
        </w:numPr>
        <w:kinsoku/>
        <w:overflowPunct/>
        <w:topLinePunct w:val="0"/>
        <w:bidi w:val="0"/>
        <w:adjustRightInd/>
        <w:spacing w:beforeAutospacing="0" w:afterAutospacing="0" w:line="500" w:lineRule="exact"/>
        <w:ind w:firstLine="720" w:firstLineChars="300"/>
        <w:textAlignment w:val="auto"/>
        <w:rPr>
          <w:rFonts w:hint="eastAsia" w:ascii="宋体" w:hAnsi="宋体" w:eastAsia="宋体" w:cs="宋体"/>
          <w:b w:val="0"/>
          <w:bCs w:val="0"/>
          <w:color w:val="auto"/>
          <w:sz w:val="24"/>
          <w:szCs w:val="24"/>
          <w:highlight w:val="none"/>
        </w:rPr>
        <w:sectPr>
          <w:pgSz w:w="11906" w:h="16838"/>
          <w:pgMar w:top="1588" w:right="1701" w:bottom="1418" w:left="1701" w:header="851" w:footer="851" w:gutter="0"/>
          <w:pgNumType w:fmt="decimal"/>
          <w:cols w:space="720" w:num="1"/>
          <w:docGrid w:linePitch="312" w:charSpace="0"/>
        </w:sectPr>
      </w:pPr>
      <w:r>
        <w:rPr>
          <w:rFonts w:hint="eastAsia" w:ascii="宋体" w:hAnsi="宋体" w:eastAsia="宋体" w:cs="宋体"/>
          <w:b w:val="0"/>
          <w:bCs w:val="0"/>
          <w:color w:val="auto"/>
          <w:sz w:val="24"/>
          <w:szCs w:val="24"/>
          <w:highlight w:val="none"/>
        </w:rPr>
        <w:t>每张表格只填写一个项目，并标明序号。</w:t>
      </w:r>
    </w:p>
    <w:bookmarkEnd w:id="1399"/>
    <w:p>
      <w:pPr>
        <w:pStyle w:val="6"/>
        <w:jc w:val="center"/>
        <w:outlineLvl w:val="2"/>
        <w:rPr>
          <w:rFonts w:hint="eastAsia" w:ascii="宋体" w:hAnsi="宋体" w:eastAsia="宋体" w:cs="宋体"/>
          <w:color w:val="auto"/>
          <w:sz w:val="24"/>
          <w:szCs w:val="24"/>
          <w:highlight w:val="none"/>
        </w:rPr>
      </w:pPr>
      <w:bookmarkStart w:id="1400" w:name="_Toc17835"/>
      <w:bookmarkEnd w:id="1400"/>
      <w:bookmarkStart w:id="1401" w:name="_Toc20957"/>
      <w:bookmarkEnd w:id="1401"/>
      <w:bookmarkStart w:id="1402" w:name="_Toc1724"/>
      <w:bookmarkEnd w:id="1402"/>
      <w:bookmarkStart w:id="1403" w:name="_Toc11181"/>
      <w:bookmarkStart w:id="1404" w:name="_Toc2767"/>
      <w:bookmarkStart w:id="1405" w:name="_Toc1510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）正在施工的和新承接的项目情况表</w:t>
      </w:r>
      <w:bookmarkEnd w:id="1403"/>
      <w:bookmarkEnd w:id="1404"/>
      <w:bookmarkEnd w:id="1405"/>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095"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095" w:type="dxa"/>
            <w:noWrap w:val="0"/>
            <w:vAlign w:val="center"/>
          </w:tcPr>
          <w:p>
            <w:pPr>
              <w:jc w:val="center"/>
              <w:rPr>
                <w:rFonts w:hint="eastAsia" w:ascii="宋体" w:hAnsi="宋体" w:eastAsia="宋体" w:cs="宋体"/>
                <w:color w:val="auto"/>
                <w:sz w:val="24"/>
                <w:szCs w:val="24"/>
                <w:highlight w:val="none"/>
              </w:rPr>
            </w:pPr>
          </w:p>
        </w:tc>
      </w:tr>
    </w:tbl>
    <w:p>
      <w:pPr>
        <w:spacing w:beforeAutospacing="0" w:afterAutospacing="0" w:line="360" w:lineRule="auto"/>
        <w:rPr>
          <w:rFonts w:hint="eastAsia" w:ascii="宋体" w:hAnsi="宋体" w:eastAsia="宋体" w:cs="宋体"/>
          <w:b/>
          <w:bCs/>
          <w:color w:val="FF0000"/>
          <w:szCs w:val="21"/>
          <w:highlight w:val="none"/>
        </w:rPr>
      </w:pPr>
    </w:p>
    <w:p>
      <w:pPr>
        <w:spacing w:beforeAutospacing="0" w:afterAutospacing="0" w:line="360" w:lineRule="auto"/>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备注：本表后附中标通知书或合同协议书</w:t>
      </w:r>
      <w:r>
        <w:rPr>
          <w:rFonts w:hint="eastAsia" w:ascii="宋体" w:hAnsi="宋体" w:eastAsia="宋体" w:cs="宋体"/>
          <w:b w:val="0"/>
          <w:bCs w:val="0"/>
          <w:color w:val="auto"/>
          <w:sz w:val="24"/>
          <w:szCs w:val="24"/>
          <w:highlight w:val="none"/>
          <w:lang w:eastAsia="zh-CN"/>
        </w:rPr>
        <w:t>的内容。</w:t>
      </w:r>
    </w:p>
    <w:p>
      <w:pPr>
        <w:jc w:val="center"/>
        <w:rPr>
          <w:rFonts w:hint="eastAsia" w:ascii="宋体" w:hAnsi="宋体" w:eastAsia="宋体" w:cs="宋体"/>
          <w:b/>
          <w:sz w:val="24"/>
          <w:szCs w:val="24"/>
        </w:rPr>
        <w:sectPr>
          <w:pgSz w:w="11906" w:h="16838"/>
          <w:pgMar w:top="1588" w:right="1701" w:bottom="1418" w:left="1701" w:header="851" w:footer="851" w:gutter="0"/>
          <w:pgNumType w:fmt="decimal"/>
          <w:cols w:space="720" w:num="1"/>
          <w:docGrid w:linePitch="312" w:charSpace="0"/>
        </w:sectPr>
      </w:pPr>
      <w:bookmarkStart w:id="1406" w:name="_Toc27928"/>
      <w:bookmarkStart w:id="1407" w:name="_Toc18480"/>
      <w:bookmarkStart w:id="1408" w:name="_Toc516822684"/>
    </w:p>
    <w:bookmarkEnd w:id="1406"/>
    <w:bookmarkEnd w:id="1407"/>
    <w:bookmarkEnd w:id="1408"/>
    <w:p>
      <w:pPr>
        <w:pStyle w:val="5"/>
        <w:jc w:val="center"/>
        <w:outlineLvl w:val="1"/>
        <w:rPr>
          <w:rFonts w:hint="eastAsia" w:ascii="宋体" w:hAnsi="宋体" w:eastAsia="宋体" w:cs="宋体"/>
          <w:color w:val="auto"/>
          <w:sz w:val="28"/>
          <w:szCs w:val="28"/>
          <w:highlight w:val="none"/>
        </w:rPr>
      </w:pPr>
      <w:bookmarkStart w:id="1409" w:name="_Toc26312"/>
      <w:r>
        <w:rPr>
          <w:rFonts w:hint="eastAsia" w:ascii="宋体" w:hAnsi="宋体" w:eastAsia="宋体" w:cs="宋体"/>
          <w:color w:val="auto"/>
          <w:sz w:val="28"/>
          <w:szCs w:val="28"/>
          <w:highlight w:val="none"/>
          <w:lang w:eastAsia="zh-CN"/>
        </w:rPr>
        <w:t>八、</w:t>
      </w:r>
      <w:r>
        <w:rPr>
          <w:rFonts w:hint="eastAsia" w:ascii="宋体" w:hAnsi="宋体" w:eastAsia="宋体" w:cs="宋体"/>
          <w:color w:val="auto"/>
          <w:sz w:val="28"/>
          <w:szCs w:val="28"/>
          <w:highlight w:val="none"/>
        </w:rPr>
        <w:t>其他材料</w:t>
      </w:r>
      <w:bookmarkEnd w:id="1409"/>
    </w:p>
    <w:p>
      <w:pPr>
        <w:bidi w:val="0"/>
        <w:spacing w:line="360" w:lineRule="auto"/>
        <w:jc w:val="center"/>
        <w:outlineLvl w:val="1"/>
        <w:rPr>
          <w:rFonts w:hint="eastAsia" w:ascii="宋体" w:hAnsi="宋体" w:eastAsia="宋体" w:cs="宋体"/>
          <w:color w:val="000000"/>
          <w:sz w:val="21"/>
          <w:szCs w:val="21"/>
          <w:lang w:eastAsia="zh-CN"/>
        </w:rPr>
      </w:pPr>
      <w:bookmarkStart w:id="1410" w:name="_Toc19851"/>
      <w:bookmarkStart w:id="1411" w:name="_Toc10361"/>
      <w:bookmarkStart w:id="1412" w:name="_Toc29899"/>
      <w:bookmarkStart w:id="1413" w:name="_Toc5850"/>
      <w:bookmarkStart w:id="1414" w:name="_Toc525210052"/>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lang w:eastAsia="zh-CN"/>
        </w:rPr>
        <w:t>中小企业声明函（</w:t>
      </w:r>
      <w:r>
        <w:rPr>
          <w:rFonts w:hint="eastAsia" w:ascii="宋体" w:hAnsi="宋体" w:cs="宋体"/>
          <w:b/>
          <w:bCs/>
          <w:color w:val="000000"/>
          <w:sz w:val="28"/>
          <w:szCs w:val="28"/>
          <w:lang w:eastAsia="zh-CN"/>
        </w:rPr>
        <w:t>工程</w:t>
      </w:r>
      <w:r>
        <w:rPr>
          <w:rFonts w:hint="eastAsia" w:ascii="宋体" w:hAnsi="宋体" w:eastAsia="宋体" w:cs="宋体"/>
          <w:b/>
          <w:bCs/>
          <w:color w:val="000000"/>
          <w:sz w:val="28"/>
          <w:szCs w:val="28"/>
          <w:lang w:eastAsia="zh-CN"/>
        </w:rPr>
        <w:t>类）</w:t>
      </w:r>
      <w:bookmarkEnd w:id="1410"/>
      <w:bookmarkEnd w:id="1411"/>
      <w:bookmarkEnd w:id="1412"/>
      <w:bookmarkEnd w:id="1413"/>
    </w:p>
    <w:p>
      <w:pPr>
        <w:pStyle w:val="24"/>
        <w:bidi w:val="0"/>
        <w:ind w:left="0" w:leftChars="0" w:firstLine="0" w:firstLineChars="0"/>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工程的施工单位全部为符合政策要求的中小企业</w:t>
      </w:r>
      <w:r>
        <w:rPr>
          <w:rFonts w:hint="eastAsia" w:ascii="宋体" w:hAnsi="宋体" w:eastAsia="宋体" w:cs="宋体"/>
          <w:sz w:val="24"/>
          <w:szCs w:val="24"/>
        </w:rPr>
        <w:t>。相关企业（含联合体中的中小企业、签订分包意向协议的中小企业）的具体情况如下：</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w:t>
      </w:r>
      <w:r>
        <w:rPr>
          <w:rFonts w:hint="eastAsia" w:ascii="宋体" w:hAnsi="宋体" w:cs="宋体"/>
          <w:sz w:val="24"/>
          <w:szCs w:val="24"/>
          <w:lang w:eastAsia="zh-CN"/>
        </w:rPr>
        <w:t>建</w:t>
      </w:r>
      <w:r>
        <w:rPr>
          <w:rFonts w:hint="eastAsia" w:ascii="宋体" w:hAnsi="宋体" w:eastAsia="宋体" w:cs="宋体"/>
          <w:sz w:val="24"/>
          <w:szCs w:val="24"/>
        </w:rPr>
        <w:t>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w:t>
      </w:r>
      <w:r>
        <w:rPr>
          <w:rFonts w:hint="eastAsia" w:ascii="宋体" w:hAnsi="宋体" w:cs="宋体"/>
          <w:sz w:val="24"/>
          <w:szCs w:val="24"/>
          <w:lang w:eastAsia="zh-CN"/>
        </w:rPr>
        <w:t>建</w:t>
      </w:r>
      <w:r>
        <w:rPr>
          <w:rFonts w:hint="eastAsia" w:ascii="宋体" w:hAnsi="宋体" w:eastAsia="宋体" w:cs="宋体"/>
          <w:sz w:val="24"/>
          <w:szCs w:val="24"/>
        </w:rPr>
        <w:t>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pPr>
        <w:pStyle w:val="31"/>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1"/>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1"/>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1"/>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31"/>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rPr>
          <w:rFonts w:hint="eastAsia" w:hAnsi="宋体" w:cs="宋体"/>
          <w:b/>
          <w:bCs/>
          <w:color w:val="000000"/>
          <w:kern w:val="2"/>
          <w:sz w:val="24"/>
          <w:szCs w:val="24"/>
          <w:lang w:val="en-US" w:eastAsia="zh-CN" w:bidi="ar-SA"/>
        </w:rPr>
      </w:pPr>
    </w:p>
    <w:p>
      <w:pPr>
        <w:pStyle w:val="31"/>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pPr>
        <w:pStyle w:val="31"/>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pPr>
        <w:pStyle w:val="11"/>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pPr>
        <w:spacing w:line="360" w:lineRule="auto"/>
        <w:ind w:firstLine="562"/>
        <w:jc w:val="center"/>
        <w:outlineLvl w:val="1"/>
        <w:rPr>
          <w:rFonts w:hint="eastAsia" w:ascii="宋体" w:hAnsi="宋体" w:eastAsia="宋体" w:cs="宋体"/>
          <w:b/>
          <w:bCs/>
          <w:color w:val="000000"/>
          <w:sz w:val="24"/>
          <w:szCs w:val="24"/>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bookmarkStart w:id="1415" w:name="_Toc1903"/>
      <w:bookmarkStart w:id="1416" w:name="_Toc13396"/>
      <w:bookmarkStart w:id="1417" w:name="_Toc13297"/>
      <w:r>
        <w:rPr>
          <w:rFonts w:hint="eastAsia" w:ascii="宋体" w:hAnsi="宋体" w:eastAsia="宋体" w:cs="宋体"/>
          <w:b/>
          <w:bCs/>
          <w:color w:val="000000"/>
          <w:sz w:val="24"/>
          <w:szCs w:val="24"/>
          <w:lang w:val="en-US" w:eastAsia="zh-CN"/>
        </w:rPr>
        <w:t xml:space="preserve">  </w:t>
      </w:r>
      <w:bookmarkStart w:id="1418" w:name="_Toc28746"/>
      <w:bookmarkStart w:id="1419" w:name="_Toc18530"/>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1415"/>
      <w:bookmarkEnd w:id="1416"/>
      <w:bookmarkEnd w:id="1417"/>
      <w:bookmarkEnd w:id="1418"/>
      <w:bookmarkEnd w:id="1419"/>
    </w:p>
    <w:p>
      <w:pPr>
        <w:spacing w:line="360" w:lineRule="auto"/>
        <w:ind w:firstLine="562"/>
        <w:jc w:val="center"/>
        <w:outlineLvl w:val="1"/>
        <w:rPr>
          <w:rFonts w:ascii="宋体" w:hAnsi="宋体" w:eastAsia="宋体" w:cs="宋体"/>
          <w:color w:val="000000"/>
          <w:kern w:val="0"/>
          <w:szCs w:val="21"/>
        </w:rPr>
      </w:pPr>
      <w:bookmarkStart w:id="1420" w:name="_Toc7237"/>
      <w:bookmarkStart w:id="1421" w:name="_Toc1244"/>
      <w:bookmarkStart w:id="1422" w:name="_Toc6851"/>
      <w:r>
        <w:rPr>
          <w:rFonts w:hint="eastAsia" w:ascii="宋体" w:hAnsi="宋体" w:cs="宋体"/>
          <w:b/>
          <w:bCs/>
          <w:color w:val="000000"/>
          <w:sz w:val="28"/>
          <w:szCs w:val="28"/>
          <w:lang w:eastAsia="zh-CN"/>
        </w:rPr>
        <w:t>（二）</w:t>
      </w:r>
      <w:r>
        <w:rPr>
          <w:rFonts w:hint="eastAsia" w:ascii="宋体" w:hAnsi="宋体" w:eastAsia="宋体" w:cs="宋体"/>
          <w:b/>
          <w:bCs/>
          <w:color w:val="000000"/>
          <w:sz w:val="28"/>
          <w:szCs w:val="28"/>
        </w:rPr>
        <w:t>残疾人福利性单位声明函</w:t>
      </w:r>
      <w:bookmarkEnd w:id="1414"/>
      <w:bookmarkEnd w:id="1420"/>
      <w:bookmarkEnd w:id="1421"/>
      <w:bookmarkEnd w:id="1422"/>
    </w:p>
    <w:p>
      <w:pPr>
        <w:spacing w:line="360" w:lineRule="auto"/>
        <w:ind w:firstLine="480"/>
        <w:jc w:val="center"/>
        <w:rPr>
          <w:rFonts w:ascii="宋体" w:hAnsi="宋体" w:eastAsia="宋体" w:cs="宋体"/>
          <w:color w:val="000000"/>
          <w:sz w:val="24"/>
          <w:szCs w:val="24"/>
        </w:rPr>
      </w:pPr>
    </w:p>
    <w:p>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pPr>
        <w:pStyle w:val="36"/>
        <w:ind w:firstLine="480"/>
        <w:rPr>
          <w:rFonts w:ascii="宋体" w:hAnsi="宋体" w:eastAsia="宋体" w:cs="宋体"/>
          <w:color w:val="000000"/>
          <w:sz w:val="24"/>
          <w:szCs w:val="24"/>
        </w:rPr>
      </w:pPr>
    </w:p>
    <w:p>
      <w:pPr>
        <w:spacing w:line="360" w:lineRule="auto"/>
        <w:ind w:firstLine="480"/>
        <w:rPr>
          <w:rFonts w:ascii="宋体" w:hAnsi="宋体" w:eastAsia="宋体" w:cs="宋体"/>
          <w:color w:val="000000"/>
          <w:sz w:val="24"/>
          <w:szCs w:val="24"/>
        </w:rPr>
      </w:pPr>
    </w:p>
    <w:p>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pPr>
        <w:spacing w:line="360" w:lineRule="auto"/>
        <w:ind w:firstLine="480"/>
        <w:rPr>
          <w:rFonts w:ascii="宋体" w:hAnsi="宋体" w:eastAsia="宋体" w:cs="宋体"/>
          <w:color w:val="000000"/>
          <w:sz w:val="24"/>
          <w:szCs w:val="24"/>
        </w:rPr>
      </w:pPr>
    </w:p>
    <w:p>
      <w:pPr>
        <w:spacing w:line="360" w:lineRule="auto"/>
        <w:ind w:firstLine="480"/>
        <w:rPr>
          <w:rFonts w:ascii="宋体" w:hAnsi="宋体" w:eastAsia="宋体" w:cs="宋体"/>
          <w:color w:val="000000"/>
          <w:sz w:val="24"/>
          <w:szCs w:val="24"/>
        </w:rPr>
      </w:pP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pPr>
        <w:pStyle w:val="4"/>
        <w:ind w:left="425" w:firstLine="0" w:firstLineChars="0"/>
        <w:rPr>
          <w:rFonts w:ascii="宋体" w:hAnsi="宋体" w:eastAsia="宋体" w:cs="宋体"/>
          <w:bCs w:val="0"/>
          <w:sz w:val="21"/>
          <w:szCs w:val="21"/>
        </w:rPr>
      </w:pPr>
    </w:p>
    <w:p>
      <w:pPr>
        <w:ind w:firstLine="422"/>
        <w:rPr>
          <w:rFonts w:ascii="宋体" w:hAnsi="宋体" w:eastAsia="宋体" w:cs="宋体"/>
          <w:b/>
          <w:color w:val="000000"/>
          <w:szCs w:val="21"/>
        </w:rPr>
      </w:pPr>
    </w:p>
    <w:p>
      <w:pPr>
        <w:pStyle w:val="31"/>
        <w:rPr>
          <w:rFonts w:hAnsi="宋体"/>
          <w:b/>
          <w:kern w:val="2"/>
          <w:sz w:val="21"/>
          <w:szCs w:val="21"/>
        </w:rPr>
      </w:pPr>
    </w:p>
    <w:p>
      <w:pPr>
        <w:pStyle w:val="20"/>
        <w:ind w:firstLine="422"/>
        <w:rPr>
          <w:rFonts w:ascii="宋体" w:hAnsi="宋体" w:eastAsia="宋体" w:cs="宋体"/>
          <w:b/>
          <w:color w:val="000000"/>
          <w:sz w:val="21"/>
          <w:szCs w:val="21"/>
        </w:rPr>
      </w:pPr>
    </w:p>
    <w:p>
      <w:pPr>
        <w:pStyle w:val="20"/>
        <w:ind w:firstLine="422"/>
        <w:rPr>
          <w:rFonts w:ascii="宋体" w:hAnsi="宋体" w:eastAsia="宋体" w:cs="宋体"/>
          <w:b/>
          <w:color w:val="000000"/>
          <w:sz w:val="21"/>
          <w:szCs w:val="21"/>
        </w:rPr>
      </w:pPr>
    </w:p>
    <w:p>
      <w:pPr>
        <w:pStyle w:val="20"/>
        <w:ind w:firstLine="422"/>
        <w:rPr>
          <w:rFonts w:ascii="宋体" w:hAnsi="宋体" w:eastAsia="宋体" w:cs="宋体"/>
          <w:b/>
          <w:color w:val="000000"/>
          <w:sz w:val="21"/>
          <w:szCs w:val="21"/>
        </w:rPr>
      </w:pPr>
    </w:p>
    <w:p>
      <w:pPr>
        <w:pStyle w:val="20"/>
        <w:ind w:firstLine="422"/>
        <w:rPr>
          <w:rFonts w:ascii="宋体" w:hAnsi="宋体" w:eastAsia="宋体" w:cs="宋体"/>
          <w:b/>
          <w:color w:val="000000"/>
          <w:sz w:val="21"/>
          <w:szCs w:val="21"/>
        </w:rPr>
      </w:pPr>
    </w:p>
    <w:p>
      <w:pPr>
        <w:pStyle w:val="20"/>
        <w:ind w:firstLine="422"/>
        <w:rPr>
          <w:rFonts w:ascii="宋体" w:hAnsi="宋体" w:eastAsia="宋体" w:cs="宋体"/>
          <w:b/>
          <w:color w:val="000000"/>
          <w:sz w:val="21"/>
          <w:szCs w:val="21"/>
        </w:rPr>
      </w:pPr>
    </w:p>
    <w:p>
      <w:pPr>
        <w:pStyle w:val="20"/>
        <w:ind w:firstLine="422"/>
        <w:rPr>
          <w:rFonts w:ascii="宋体" w:hAnsi="宋体" w:eastAsia="宋体" w:cs="宋体"/>
          <w:b/>
          <w:color w:val="000000"/>
          <w:sz w:val="21"/>
          <w:szCs w:val="21"/>
        </w:rPr>
      </w:pPr>
    </w:p>
    <w:p>
      <w:pPr>
        <w:pStyle w:val="20"/>
        <w:ind w:firstLine="422"/>
        <w:rPr>
          <w:rFonts w:ascii="宋体" w:hAnsi="宋体" w:eastAsia="宋体" w:cs="宋体"/>
          <w:b/>
          <w:color w:val="000000"/>
          <w:sz w:val="21"/>
          <w:szCs w:val="21"/>
        </w:rPr>
      </w:pPr>
    </w:p>
    <w:p>
      <w:pPr>
        <w:pStyle w:val="4"/>
        <w:ind w:left="425" w:firstLine="0" w:firstLineChars="0"/>
        <w:rPr>
          <w:rFonts w:ascii="宋体" w:hAnsi="宋体" w:eastAsia="宋体" w:cs="宋体"/>
          <w:sz w:val="28"/>
          <w:szCs w:val="28"/>
        </w:rPr>
        <w:sectPr>
          <w:pgSz w:w="11906" w:h="16838"/>
          <w:pgMar w:top="1440" w:right="1800" w:bottom="1440" w:left="1800" w:header="851" w:footer="992" w:gutter="0"/>
          <w:pgNumType w:fmt="decimal"/>
          <w:cols w:space="425" w:num="1"/>
          <w:docGrid w:type="lines" w:linePitch="312" w:charSpace="0"/>
        </w:sectPr>
      </w:pPr>
    </w:p>
    <w:p>
      <w:pPr>
        <w:pStyle w:val="5"/>
        <w:ind w:left="425" w:firstLine="0" w:firstLineChars="0"/>
        <w:jc w:val="center"/>
        <w:rPr>
          <w:rFonts w:hint="eastAsia" w:ascii="宋体" w:hAnsi="宋体" w:eastAsia="宋体" w:cs="宋体"/>
          <w:b/>
          <w:bCs/>
          <w:color w:val="000000"/>
          <w:kern w:val="2"/>
          <w:sz w:val="28"/>
          <w:szCs w:val="28"/>
          <w:lang w:val="en-US" w:eastAsia="zh-CN" w:bidi="ar-SA"/>
        </w:rPr>
      </w:pPr>
      <w:bookmarkStart w:id="1423" w:name="_Toc10431"/>
      <w:bookmarkStart w:id="1424" w:name="_Toc10792"/>
      <w:bookmarkStart w:id="1425" w:name="_Toc3825"/>
      <w:r>
        <w:rPr>
          <w:rFonts w:hint="eastAsia" w:ascii="宋体" w:hAnsi="宋体" w:eastAsia="宋体" w:cs="宋体"/>
          <w:b/>
          <w:bCs/>
          <w:color w:val="000000"/>
          <w:kern w:val="2"/>
          <w:sz w:val="28"/>
          <w:szCs w:val="28"/>
          <w:lang w:val="en-US" w:eastAsia="zh-CN" w:bidi="ar-SA"/>
        </w:rPr>
        <w:t>（三）监狱企业证明文件（如有）</w:t>
      </w:r>
      <w:bookmarkEnd w:id="1423"/>
      <w:bookmarkEnd w:id="1424"/>
      <w:bookmarkEnd w:id="1425"/>
    </w:p>
    <w:p>
      <w:pPr>
        <w:spacing w:line="360" w:lineRule="auto"/>
        <w:ind w:firstLine="420"/>
        <w:rPr>
          <w:rFonts w:ascii="宋体" w:hAnsi="宋体" w:eastAsia="宋体" w:cs="宋体"/>
          <w:color w:val="000000"/>
          <w:szCs w:val="21"/>
        </w:rPr>
      </w:pPr>
    </w:p>
    <w:p>
      <w:pPr>
        <w:spacing w:line="480" w:lineRule="auto"/>
        <w:ind w:firstLine="480"/>
        <w:rPr>
          <w:rFonts w:ascii="宋体" w:hAnsi="宋体" w:eastAsia="宋体" w:cs="宋体"/>
          <w:color w:val="000000"/>
          <w:sz w:val="24"/>
          <w:szCs w:val="24"/>
        </w:rPr>
      </w:pPr>
    </w:p>
    <w:p>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cs="宋体"/>
          <w:color w:val="000000"/>
          <w:sz w:val="24"/>
          <w:szCs w:val="24"/>
          <w:lang w:eastAsia="zh-CN"/>
        </w:rPr>
        <w:t>6%</w:t>
      </w:r>
      <w:r>
        <w:rPr>
          <w:rFonts w:hint="eastAsia" w:ascii="宋体" w:hAnsi="宋体" w:eastAsia="宋体" w:cs="宋体"/>
          <w:color w:val="000000"/>
          <w:sz w:val="24"/>
          <w:szCs w:val="24"/>
        </w:rPr>
        <w:t>的价格扣除，但必须提供由省级以上监狱管理局、戒毒管理局（含新疆生产建设兵团）出具的属于监狱企业的证明文件，否则评审时不予价格扣除优惠。</w:t>
      </w:r>
    </w:p>
    <w:p>
      <w:pPr>
        <w:spacing w:line="360" w:lineRule="auto"/>
        <w:ind w:firstLine="420"/>
        <w:jc w:val="center"/>
        <w:rPr>
          <w:rFonts w:ascii="宋体" w:hAnsi="宋体" w:eastAsia="宋体" w:cs="宋体"/>
          <w:color w:val="000000"/>
          <w:szCs w:val="21"/>
        </w:rPr>
      </w:pPr>
    </w:p>
    <w:p>
      <w:pPr>
        <w:spacing w:line="360" w:lineRule="auto"/>
        <w:ind w:firstLine="420"/>
        <w:jc w:val="center"/>
        <w:rPr>
          <w:rFonts w:ascii="宋体" w:hAnsi="宋体" w:eastAsia="宋体" w:cs="宋体"/>
          <w:color w:val="000000"/>
          <w:szCs w:val="21"/>
        </w:rPr>
      </w:pP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注：在投标文件中附扫描件。</w:t>
      </w:r>
    </w:p>
    <w:p>
      <w:pPr>
        <w:pStyle w:val="4"/>
        <w:ind w:left="425" w:firstLine="0" w:firstLineChars="0"/>
        <w:rPr>
          <w:rFonts w:ascii="宋体" w:hAnsi="宋体" w:eastAsia="宋体" w:cs="宋体"/>
          <w:sz w:val="28"/>
          <w:szCs w:val="28"/>
        </w:rPr>
      </w:pPr>
    </w:p>
    <w:p>
      <w:pPr>
        <w:pStyle w:val="4"/>
        <w:ind w:left="425" w:firstLine="0" w:firstLineChars="0"/>
        <w:rPr>
          <w:rFonts w:ascii="宋体" w:hAnsi="宋体" w:eastAsia="宋体" w:cs="宋体"/>
          <w:sz w:val="28"/>
          <w:szCs w:val="28"/>
        </w:rPr>
      </w:pPr>
    </w:p>
    <w:p>
      <w:pPr>
        <w:pStyle w:val="4"/>
        <w:ind w:left="425" w:firstLine="0" w:firstLineChars="0"/>
        <w:rPr>
          <w:rFonts w:ascii="宋体" w:hAnsi="宋体" w:eastAsia="宋体" w:cs="宋体"/>
          <w:sz w:val="28"/>
          <w:szCs w:val="28"/>
        </w:rPr>
      </w:pPr>
    </w:p>
    <w:p>
      <w:pPr>
        <w:pStyle w:val="4"/>
        <w:ind w:left="425" w:firstLine="0" w:firstLineChars="0"/>
        <w:rPr>
          <w:rFonts w:ascii="宋体" w:hAnsi="宋体" w:eastAsia="宋体" w:cs="宋体"/>
          <w:sz w:val="28"/>
          <w:szCs w:val="28"/>
        </w:rPr>
      </w:pPr>
    </w:p>
    <w:p>
      <w:pPr>
        <w:pStyle w:val="4"/>
        <w:ind w:left="425" w:firstLine="0" w:firstLineChars="0"/>
        <w:rPr>
          <w:rFonts w:ascii="宋体" w:hAnsi="宋体" w:eastAsia="宋体" w:cs="宋体"/>
          <w:sz w:val="28"/>
          <w:szCs w:val="28"/>
        </w:rPr>
      </w:pPr>
    </w:p>
    <w:p>
      <w:pPr>
        <w:ind w:firstLine="562"/>
        <w:rPr>
          <w:rFonts w:ascii="宋体" w:hAnsi="宋体" w:eastAsia="宋体" w:cs="宋体"/>
          <w:b/>
          <w:bCs/>
          <w:color w:val="000000"/>
          <w:sz w:val="28"/>
          <w:szCs w:val="28"/>
        </w:rPr>
      </w:pPr>
    </w:p>
    <w:p>
      <w:pPr>
        <w:pStyle w:val="36"/>
        <w:ind w:firstLine="422"/>
        <w:rPr>
          <w:rFonts w:ascii="宋体" w:hAnsi="宋体" w:eastAsia="宋体" w:cs="宋体"/>
          <w:b/>
          <w:color w:val="000000"/>
          <w:szCs w:val="21"/>
        </w:rPr>
      </w:pPr>
    </w:p>
    <w:p>
      <w:pPr>
        <w:pStyle w:val="5"/>
        <w:ind w:firstLine="562"/>
        <w:jc w:val="center"/>
        <w:rPr>
          <w:rFonts w:eastAsia="宋体" w:cs="宋体"/>
          <w:bCs/>
          <w:color w:val="000000"/>
          <w:sz w:val="28"/>
          <w:szCs w:val="28"/>
        </w:rPr>
      </w:pPr>
      <w:bookmarkStart w:id="1426" w:name="_Toc30225"/>
      <w:bookmarkStart w:id="1427" w:name="_Toc18640"/>
      <w:bookmarkStart w:id="1428" w:name="_Toc16862"/>
      <w:r>
        <w:rPr>
          <w:rFonts w:hint="eastAsia" w:eastAsia="宋体" w:cs="宋体"/>
          <w:bCs/>
          <w:color w:val="000000"/>
          <w:sz w:val="28"/>
          <w:szCs w:val="28"/>
          <w:lang w:eastAsia="zh-CN"/>
        </w:rPr>
        <w:t>（四）</w:t>
      </w:r>
      <w:r>
        <w:rPr>
          <w:rFonts w:hint="eastAsia" w:eastAsia="宋体" w:cs="宋体"/>
          <w:bCs/>
          <w:color w:val="000000"/>
          <w:sz w:val="28"/>
          <w:szCs w:val="28"/>
        </w:rPr>
        <w:t>反商业贿赂承诺书</w:t>
      </w:r>
      <w:bookmarkEnd w:id="1426"/>
      <w:bookmarkEnd w:id="1427"/>
      <w:bookmarkEnd w:id="1428"/>
    </w:p>
    <w:p>
      <w:pPr>
        <w:pStyle w:val="24"/>
        <w:ind w:firstLine="210"/>
        <w:rPr>
          <w:rFonts w:ascii="宋体" w:hAnsi="宋体" w:eastAsia="宋体" w:cs="宋体"/>
          <w:color w:val="000000"/>
          <w:szCs w:val="21"/>
        </w:rPr>
      </w:pPr>
    </w:p>
    <w:p>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）投标活动中，我方保证做到：</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pPr>
        <w:spacing w:line="360" w:lineRule="auto"/>
        <w:ind w:left="645" w:firstLine="420"/>
        <w:outlineLvl w:val="0"/>
        <w:rPr>
          <w:rFonts w:ascii="宋体" w:hAnsi="宋体" w:eastAsia="宋体" w:cs="宋体"/>
          <w:color w:val="000000"/>
          <w:szCs w:val="21"/>
        </w:rPr>
      </w:pPr>
    </w:p>
    <w:p>
      <w:pPr>
        <w:spacing w:line="360" w:lineRule="auto"/>
        <w:ind w:left="645" w:firstLine="420"/>
        <w:outlineLvl w:val="0"/>
        <w:rPr>
          <w:rFonts w:ascii="宋体" w:hAnsi="宋体" w:eastAsia="宋体" w:cs="宋体"/>
          <w:color w:val="000000"/>
          <w:szCs w:val="21"/>
        </w:rPr>
      </w:pP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pgNumType w:fmt="decimal"/>
          <w:cols w:space="425" w:num="1"/>
          <w:docGrid w:type="lines" w:linePitch="312" w:charSpace="0"/>
        </w:sectPr>
      </w:pPr>
    </w:p>
    <w:p>
      <w:pPr>
        <w:bidi w:val="0"/>
        <w:spacing w:line="360" w:lineRule="auto"/>
        <w:jc w:val="center"/>
        <w:outlineLvl w:val="1"/>
        <w:rPr>
          <w:rFonts w:hint="eastAsia" w:ascii="宋体" w:hAnsi="宋体" w:eastAsia="宋体" w:cs="宋体"/>
          <w:b/>
          <w:bCs/>
          <w:color w:val="000000"/>
          <w:sz w:val="28"/>
          <w:szCs w:val="28"/>
          <w:lang w:eastAsia="zh-CN"/>
        </w:rPr>
      </w:pPr>
      <w:bookmarkStart w:id="1429" w:name="_Toc15099"/>
      <w:r>
        <w:rPr>
          <w:rFonts w:hint="eastAsia" w:ascii="宋体" w:hAnsi="宋体" w:eastAsia="宋体" w:cs="宋体"/>
          <w:b/>
          <w:bCs/>
          <w:color w:val="000000"/>
          <w:sz w:val="28"/>
          <w:szCs w:val="28"/>
          <w:lang w:eastAsia="zh-CN"/>
        </w:rPr>
        <w:t>（五）采购代理服务费承诺函</w:t>
      </w:r>
      <w:bookmarkEnd w:id="1429"/>
    </w:p>
    <w:p>
      <w:pPr>
        <w:pStyle w:val="23"/>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pPr>
        <w:pStyle w:val="23"/>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致</w:t>
      </w:r>
      <w:r>
        <w:rPr>
          <w:rFonts w:hint="eastAsia" w:eastAsia="宋体"/>
          <w:color w:val="000000"/>
          <w:shd w:val="clear" w:color="auto" w:fill="FFFFFF"/>
        </w:rPr>
        <w:t xml:space="preserve"> </w:t>
      </w:r>
      <w:r>
        <w:rPr>
          <w:rFonts w:hint="eastAsia" w:eastAsia="宋体"/>
          <w:color w:val="000000"/>
          <w:u w:val="single"/>
          <w:shd w:val="clear" w:color="auto" w:fill="FFFFFF"/>
        </w:rPr>
        <w:t xml:space="preserve">            </w:t>
      </w:r>
      <w:r>
        <w:rPr>
          <w:rFonts w:hint="eastAsia" w:eastAsia="宋体"/>
          <w:color w:val="000000"/>
          <w:shd w:val="clear" w:color="auto" w:fill="FFFFFF"/>
        </w:rPr>
        <w:t>（采购人及采购代理机构）</w:t>
      </w:r>
      <w:r>
        <w:rPr>
          <w:rFonts w:hint="eastAsia" w:eastAsia="宋体"/>
          <w:color w:val="000000"/>
          <w:spacing w:val="8"/>
          <w:shd w:val="clear" w:color="auto" w:fill="FFFFFF"/>
        </w:rPr>
        <w:t>：</w:t>
      </w:r>
    </w:p>
    <w:p>
      <w:pPr>
        <w:pStyle w:val="23"/>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我们在贵公司组织的（项目名称：</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，采购编号：</w:t>
      </w:r>
      <w:r>
        <w:rPr>
          <w:rFonts w:hint="eastAsia" w:eastAsia="宋体"/>
          <w:color w:val="000000"/>
          <w:spacing w:val="8"/>
          <w:u w:val="single"/>
          <w:shd w:val="clear" w:color="auto" w:fill="FFFFFF"/>
        </w:rPr>
        <w:t xml:space="preserve">     </w:t>
      </w:r>
      <w:r>
        <w:rPr>
          <w:rFonts w:hint="eastAsia" w:eastAsia="宋体"/>
          <w:color w:val="000000"/>
          <w:spacing w:val="8"/>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pPr>
        <w:pStyle w:val="23"/>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特此承诺。</w:t>
      </w:r>
    </w:p>
    <w:p>
      <w:pPr>
        <w:pStyle w:val="23"/>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pPr>
        <w:pStyle w:val="23"/>
        <w:shd w:val="clear" w:color="auto" w:fill="FFFFFF"/>
        <w:spacing w:beforeAutospacing="0" w:afterAutospacing="0" w:line="500" w:lineRule="exact"/>
        <w:ind w:firstLine="512"/>
        <w:jc w:val="both"/>
        <w:rPr>
          <w:rFonts w:eastAsia="宋体"/>
          <w:color w:val="000000"/>
          <w:spacing w:val="8"/>
        </w:rPr>
      </w:pPr>
      <w:r>
        <w:rPr>
          <w:rFonts w:hint="eastAsia" w:eastAsia="宋体"/>
          <w:color w:val="000000"/>
          <w:spacing w:val="8"/>
          <w:shd w:val="clear" w:color="auto" w:fill="FFFFFF"/>
        </w:rPr>
        <w:t> </w:t>
      </w: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rPr>
          <w:rFonts w:hint="eastAsia" w:ascii="宋体" w:hAnsi="宋体" w:eastAsia="宋体" w:cs="宋体"/>
          <w:color w:val="auto"/>
          <w:szCs w:val="21"/>
          <w:highlight w:val="none"/>
        </w:rPr>
      </w:pPr>
    </w:p>
    <w:p>
      <w:pPr>
        <w:spacing w:before="120" w:beforeLines="50" w:beforeAutospacing="0" w:after="240" w:afterLines="100" w:afterAutospacing="0" w:line="440" w:lineRule="exact"/>
        <w:ind w:right="420"/>
        <w:rPr>
          <w:rFonts w:hint="eastAsia" w:ascii="宋体" w:hAnsi="宋体" w:eastAsia="宋体" w:cs="宋体"/>
          <w:color w:val="auto"/>
          <w:sz w:val="24"/>
          <w:highlight w:val="none"/>
        </w:rPr>
      </w:pPr>
    </w:p>
    <w:p>
      <w:pPr>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bidi w:val="0"/>
        <w:spacing w:line="360" w:lineRule="auto"/>
        <w:jc w:val="center"/>
        <w:outlineLvl w:val="1"/>
        <w:rPr>
          <w:rFonts w:hint="eastAsia" w:ascii="宋体" w:hAnsi="宋体" w:eastAsia="宋体" w:cs="宋体"/>
          <w:b/>
          <w:bCs/>
          <w:color w:val="000000"/>
          <w:sz w:val="28"/>
          <w:szCs w:val="28"/>
          <w:lang w:eastAsia="zh-CN"/>
        </w:rPr>
      </w:pPr>
      <w:bookmarkStart w:id="1430" w:name="_Toc28029"/>
      <w:r>
        <w:rPr>
          <w:rFonts w:hint="eastAsia" w:ascii="宋体" w:hAnsi="宋体" w:eastAsia="宋体" w:cs="宋体"/>
          <w:b/>
          <w:bCs/>
          <w:color w:val="000000"/>
          <w:sz w:val="28"/>
          <w:szCs w:val="28"/>
          <w:lang w:eastAsia="zh-CN"/>
        </w:rPr>
        <w:t>（六）供应商认为需要的其他资料</w:t>
      </w:r>
      <w:bookmarkEnd w:id="1430"/>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p>
      <w:pPr>
        <w:pStyle w:val="22"/>
        <w:rPr>
          <w:rFonts w:hint="eastAsia" w:eastAsiaTheme="minorEastAsia"/>
          <w:lang w:val="en-US" w:eastAsia="zh-CN"/>
        </w:rPr>
      </w:pPr>
    </w:p>
    <w:sectPr>
      <w:pgSz w:w="11906" w:h="16838"/>
      <w:pgMar w:top="1588" w:right="1701" w:bottom="1418"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QQJ8tAgAAVg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NrSjRTKPj5+7fz&#10;j1/nn1/J5Crq01g/R9ijRWBo35oWXTOcexxG2m3pVPyCEIEf6p4u6oo2EB4vzaaz2RguDt+wAX72&#10;dN06H94Jo0g0cupQvqQqO2596EKHkJhNm00tZSqh1KTJ6c3V9ThduHgALjVyRBLdY6MV2l3bM9uZ&#10;4gRiznSt4S3f1Ei+ZT48MIdewIMxLeEeSykNkpjeoqQy7su/zmM8SgQvJQ16K6cao0SJfK9ROgCG&#10;wXCDsRsMfVB3Bs06wRRankxccEEOZumM+owRWsUccDHNkSmnYTDvQtffGEEuVqsUhGazLGz1o+UR&#10;Oorn7eoQIGDSNYrSKdFrhXZLlelHI/bzn/sU9fQ7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AQQJ8tAgAAVgQAAA4AAAAAAAAAAQAgAAAAHwEAAGRycy9lMm9Eb2MueG1sUEsFBgAAAAAG&#10;AAYAWQEAAL4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360"/>
      <w:jc w:val="right"/>
      <w:rPr>
        <w:i/>
        <w:iCs/>
        <w:color w:val="0000FF"/>
      </w:rPr>
    </w:pPr>
    <w:r>
      <w:rPr>
        <w:rFonts w:hint="eastAsia" w:ascii="宋体" w:hAnsi="宋体" w:eastAsia="宋体" w:cs="宋体"/>
        <w:i/>
        <w:iCs/>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AF898343"/>
    <w:multiLevelType w:val="singleLevel"/>
    <w:tmpl w:val="AF898343"/>
    <w:lvl w:ilvl="0" w:tentative="0">
      <w:start w:val="4"/>
      <w:numFmt w:val="decimal"/>
      <w:lvlText w:val="%1."/>
      <w:lvlJc w:val="left"/>
      <w:pPr>
        <w:tabs>
          <w:tab w:val="left" w:pos="312"/>
        </w:tabs>
      </w:pPr>
    </w:lvl>
  </w:abstractNum>
  <w:abstractNum w:abstractNumId="2">
    <w:nsid w:val="B5E08322"/>
    <w:multiLevelType w:val="singleLevel"/>
    <w:tmpl w:val="B5E08322"/>
    <w:lvl w:ilvl="0" w:tentative="0">
      <w:start w:val="1"/>
      <w:numFmt w:val="chineseCounting"/>
      <w:suff w:val="nothing"/>
      <w:lvlText w:val="%1、"/>
      <w:lvlJc w:val="left"/>
      <w:rPr>
        <w:rFonts w:hint="eastAsia"/>
      </w:rPr>
    </w:lvl>
  </w:abstractNum>
  <w:abstractNum w:abstractNumId="3">
    <w:nsid w:val="C0CBBB97"/>
    <w:multiLevelType w:val="singleLevel"/>
    <w:tmpl w:val="C0CBBB97"/>
    <w:lvl w:ilvl="0" w:tentative="0">
      <w:start w:val="7"/>
      <w:numFmt w:val="chineseCounting"/>
      <w:suff w:val="space"/>
      <w:lvlText w:val="第%1章"/>
      <w:lvlJc w:val="left"/>
      <w:rPr>
        <w:rFonts w:hint="eastAsia"/>
      </w:rPr>
    </w:lvl>
  </w:abstractNum>
  <w:abstractNum w:abstractNumId="4">
    <w:nsid w:val="E4657D7F"/>
    <w:multiLevelType w:val="singleLevel"/>
    <w:tmpl w:val="E4657D7F"/>
    <w:lvl w:ilvl="0" w:tentative="0">
      <w:start w:val="2"/>
      <w:numFmt w:val="decimal"/>
      <w:suff w:val="nothing"/>
      <w:lvlText w:val="%1、"/>
      <w:lvlJc w:val="left"/>
    </w:lvl>
  </w:abstractNum>
  <w:abstractNum w:abstractNumId="5">
    <w:nsid w:val="3AA800C6"/>
    <w:multiLevelType w:val="multilevel"/>
    <w:tmpl w:val="3AA800C6"/>
    <w:lvl w:ilvl="0" w:tentative="0">
      <w:start w:val="1"/>
      <w:numFmt w:val="decimal"/>
      <w:pStyle w:val="43"/>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7">
    <w:nsid w:val="62687BB6"/>
    <w:multiLevelType w:val="multilevel"/>
    <w:tmpl w:val="62687BB6"/>
    <w:lvl w:ilvl="0" w:tentative="0">
      <w:start w:val="1"/>
      <w:numFmt w:val="decimal"/>
      <w:pStyle w:val="4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8">
    <w:nsid w:val="6E87019F"/>
    <w:multiLevelType w:val="multilevel"/>
    <w:tmpl w:val="6E87019F"/>
    <w:lvl w:ilvl="0" w:tentative="0">
      <w:start w:val="1"/>
      <w:numFmt w:val="chineseCountingThousand"/>
      <w:pStyle w:val="41"/>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8"/>
  </w:num>
  <w:num w:numId="2">
    <w:abstractNumId w:val="5"/>
  </w:num>
  <w:num w:numId="3">
    <w:abstractNumId w:val="7"/>
  </w:num>
  <w:num w:numId="4">
    <w:abstractNumId w:val="1"/>
  </w:num>
  <w:num w:numId="5">
    <w:abstractNumId w:val="3"/>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 w:name="KSO_WPS_MARK_KEY" w:val="bd7f956b-144d-4def-8c69-93c85ed05d7c"/>
  </w:docVars>
  <w:rsids>
    <w:rsidRoot w:val="00000000"/>
    <w:rsid w:val="00F656D9"/>
    <w:rsid w:val="02145E6B"/>
    <w:rsid w:val="03B22EB7"/>
    <w:rsid w:val="04EA13CB"/>
    <w:rsid w:val="06527B9B"/>
    <w:rsid w:val="08B06922"/>
    <w:rsid w:val="09A61D8A"/>
    <w:rsid w:val="0A0F4BBF"/>
    <w:rsid w:val="0A117003"/>
    <w:rsid w:val="0CAF4438"/>
    <w:rsid w:val="0CD141AC"/>
    <w:rsid w:val="0CE923C2"/>
    <w:rsid w:val="0D133148"/>
    <w:rsid w:val="0E4178BF"/>
    <w:rsid w:val="10661ADA"/>
    <w:rsid w:val="10947BCD"/>
    <w:rsid w:val="11072A94"/>
    <w:rsid w:val="11ED0B66"/>
    <w:rsid w:val="12491718"/>
    <w:rsid w:val="127203E1"/>
    <w:rsid w:val="12755E23"/>
    <w:rsid w:val="136A6AC8"/>
    <w:rsid w:val="13DF4573"/>
    <w:rsid w:val="15B84E6E"/>
    <w:rsid w:val="16467BBB"/>
    <w:rsid w:val="16F11005"/>
    <w:rsid w:val="17A155DC"/>
    <w:rsid w:val="1B6603B7"/>
    <w:rsid w:val="1BFB6995"/>
    <w:rsid w:val="1CCB6914"/>
    <w:rsid w:val="1D331825"/>
    <w:rsid w:val="21803561"/>
    <w:rsid w:val="21806B5E"/>
    <w:rsid w:val="25443D3D"/>
    <w:rsid w:val="27625DEE"/>
    <w:rsid w:val="276960C1"/>
    <w:rsid w:val="27C3715C"/>
    <w:rsid w:val="29D41C0C"/>
    <w:rsid w:val="2ADF5D46"/>
    <w:rsid w:val="2B402486"/>
    <w:rsid w:val="2E1507E0"/>
    <w:rsid w:val="2E433003"/>
    <w:rsid w:val="2EC01E1F"/>
    <w:rsid w:val="2F13487F"/>
    <w:rsid w:val="2F4960F1"/>
    <w:rsid w:val="2F6D7B0F"/>
    <w:rsid w:val="30266D8F"/>
    <w:rsid w:val="306E09C1"/>
    <w:rsid w:val="30A939E9"/>
    <w:rsid w:val="345E3ECA"/>
    <w:rsid w:val="36EB4340"/>
    <w:rsid w:val="3A420FF2"/>
    <w:rsid w:val="3A647D60"/>
    <w:rsid w:val="3BF079B0"/>
    <w:rsid w:val="3C091837"/>
    <w:rsid w:val="3EC05EAD"/>
    <w:rsid w:val="3FB0522E"/>
    <w:rsid w:val="3FE13771"/>
    <w:rsid w:val="41BE2B0B"/>
    <w:rsid w:val="41DE0E2E"/>
    <w:rsid w:val="4392471B"/>
    <w:rsid w:val="43A30AAA"/>
    <w:rsid w:val="45D127E2"/>
    <w:rsid w:val="460E1437"/>
    <w:rsid w:val="465C6D62"/>
    <w:rsid w:val="466575A6"/>
    <w:rsid w:val="4A7364C9"/>
    <w:rsid w:val="4BD3568C"/>
    <w:rsid w:val="4C7D6C0F"/>
    <w:rsid w:val="4D085520"/>
    <w:rsid w:val="4F3D0AD3"/>
    <w:rsid w:val="4F4F2804"/>
    <w:rsid w:val="520523BB"/>
    <w:rsid w:val="52C80302"/>
    <w:rsid w:val="53350FE7"/>
    <w:rsid w:val="533643B1"/>
    <w:rsid w:val="54D95E32"/>
    <w:rsid w:val="5522287E"/>
    <w:rsid w:val="55A91488"/>
    <w:rsid w:val="55D5648F"/>
    <w:rsid w:val="55DB04DF"/>
    <w:rsid w:val="5631521F"/>
    <w:rsid w:val="56E07623"/>
    <w:rsid w:val="57542C4B"/>
    <w:rsid w:val="58FA2B45"/>
    <w:rsid w:val="597D105F"/>
    <w:rsid w:val="5ABA55BE"/>
    <w:rsid w:val="5B8665A7"/>
    <w:rsid w:val="5BC66D67"/>
    <w:rsid w:val="5BCE5C2C"/>
    <w:rsid w:val="5C87460C"/>
    <w:rsid w:val="5D0042D7"/>
    <w:rsid w:val="5D3F34BD"/>
    <w:rsid w:val="5E436B87"/>
    <w:rsid w:val="5F910687"/>
    <w:rsid w:val="5FE84463"/>
    <w:rsid w:val="6035714D"/>
    <w:rsid w:val="60DD67E0"/>
    <w:rsid w:val="6262639F"/>
    <w:rsid w:val="634D1758"/>
    <w:rsid w:val="64AA70D9"/>
    <w:rsid w:val="64BE7132"/>
    <w:rsid w:val="66B50462"/>
    <w:rsid w:val="69C6469D"/>
    <w:rsid w:val="6A794029"/>
    <w:rsid w:val="6BC35090"/>
    <w:rsid w:val="6C421D3F"/>
    <w:rsid w:val="6C426836"/>
    <w:rsid w:val="6C8E501A"/>
    <w:rsid w:val="6C927218"/>
    <w:rsid w:val="6CD80BE1"/>
    <w:rsid w:val="6EC07206"/>
    <w:rsid w:val="6FA64520"/>
    <w:rsid w:val="70AF181F"/>
    <w:rsid w:val="70CC19AF"/>
    <w:rsid w:val="733B1EB9"/>
    <w:rsid w:val="73890ECF"/>
    <w:rsid w:val="74477EFB"/>
    <w:rsid w:val="75E560C4"/>
    <w:rsid w:val="76003169"/>
    <w:rsid w:val="76724EBB"/>
    <w:rsid w:val="767D37C4"/>
    <w:rsid w:val="77A63ED6"/>
    <w:rsid w:val="77CB1FBE"/>
    <w:rsid w:val="7DB7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spacing w:before="340" w:beforeAutospacing="0" w:after="330" w:afterAutospacing="0" w:line="578" w:lineRule="auto"/>
      <w:jc w:val="center"/>
      <w:outlineLvl w:val="0"/>
    </w:pPr>
    <w:rPr>
      <w:b/>
      <w:bCs/>
      <w:kern w:val="44"/>
      <w:sz w:val="44"/>
      <w:szCs w:val="44"/>
    </w:rPr>
  </w:style>
  <w:style w:type="paragraph" w:styleId="5">
    <w:name w:val="heading 2"/>
    <w:basedOn w:val="1"/>
    <w:next w:val="1"/>
    <w:qFormat/>
    <w:uiPriority w:val="0"/>
    <w:pPr>
      <w:spacing w:before="260" w:beforeAutospacing="0" w:after="260" w:afterAutospacing="0" w:line="416" w:lineRule="auto"/>
      <w:jc w:val="center"/>
      <w:outlineLvl w:val="1"/>
    </w:pPr>
    <w:rPr>
      <w:rFonts w:ascii="Arial" w:hAnsi="Arial" w:eastAsia="黑体"/>
      <w:b/>
      <w:bCs/>
      <w:sz w:val="32"/>
      <w:szCs w:val="32"/>
    </w:rPr>
  </w:style>
  <w:style w:type="paragraph" w:styleId="6">
    <w:name w:val="heading 3"/>
    <w:basedOn w:val="1"/>
    <w:next w:val="1"/>
    <w:qFormat/>
    <w:uiPriority w:val="0"/>
    <w:pPr>
      <w:spacing w:before="260" w:beforeAutospacing="0" w:after="260" w:afterAutospacing="0" w:line="416" w:lineRule="auto"/>
      <w:outlineLvl w:val="2"/>
    </w:pPr>
    <w:rPr>
      <w:b/>
      <w:bCs/>
      <w:sz w:val="32"/>
      <w:szCs w:val="32"/>
    </w:rPr>
  </w:style>
  <w:style w:type="paragraph" w:styleId="7">
    <w:name w:val="heading 4"/>
    <w:basedOn w:val="1"/>
    <w:next w:val="1"/>
    <w:qFormat/>
    <w:uiPriority w:val="0"/>
    <w:pPr>
      <w:spacing w:before="280" w:beforeAutospacing="0" w:after="290" w:afterAutospacing="0" w:line="376" w:lineRule="auto"/>
      <w:outlineLvl w:val="3"/>
    </w:pPr>
    <w:rPr>
      <w:rFonts w:ascii="Arial" w:hAnsi="Arial" w:eastAsia="黑体"/>
      <w:b/>
      <w:bCs/>
      <w:sz w:val="28"/>
      <w:szCs w:val="28"/>
    </w:rPr>
  </w:style>
  <w:style w:type="paragraph" w:styleId="8">
    <w:name w:val="heading 5"/>
    <w:basedOn w:val="1"/>
    <w:next w:val="1"/>
    <w:qFormat/>
    <w:uiPriority w:val="0"/>
    <w:pPr>
      <w:spacing w:before="280" w:beforeAutospacing="0" w:after="290" w:afterAutospacing="0" w:line="376" w:lineRule="auto"/>
      <w:outlineLvl w:val="4"/>
    </w:pPr>
    <w:rPr>
      <w:b/>
      <w:bCs/>
      <w:sz w:val="28"/>
      <w:szCs w:val="28"/>
    </w:rPr>
  </w:style>
  <w:style w:type="paragraph" w:styleId="9">
    <w:name w:val="heading 6"/>
    <w:basedOn w:val="1"/>
    <w:next w:val="1"/>
    <w:qFormat/>
    <w:uiPriority w:val="0"/>
    <w:pPr>
      <w:spacing w:before="240" w:beforeAutospacing="0" w:after="64" w:afterAutospacing="0" w:line="320" w:lineRule="auto"/>
      <w:outlineLvl w:val="5"/>
    </w:pPr>
    <w:rPr>
      <w:rFonts w:ascii="等线 Light" w:hAnsi="等线 Light" w:eastAsia="等线 Light"/>
      <w:b/>
      <w:bCs/>
      <w:sz w:val="24"/>
    </w:rPr>
  </w:style>
  <w:style w:type="paragraph" w:styleId="10">
    <w:name w:val="heading 8"/>
    <w:basedOn w:val="1"/>
    <w:next w:val="1"/>
    <w:unhideWhenUsed/>
    <w:qFormat/>
    <w:uiPriority w:val="1"/>
    <w:pPr>
      <w:spacing w:before="36" w:beforeLines="0" w:afterLines="0"/>
      <w:ind w:left="1953"/>
      <w:outlineLvl w:val="7"/>
    </w:pPr>
    <w:rPr>
      <w:rFonts w:hint="eastAsia" w:ascii="宋体" w:hAnsi="宋体" w:eastAsia="宋体"/>
      <w:b/>
      <w:sz w:val="21"/>
      <w:szCs w:val="24"/>
    </w:rPr>
  </w:style>
  <w:style w:type="character" w:default="1" w:styleId="27">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Autospacing="0" w:after="120" w:afterAutospacing="0"/>
    </w:pPr>
    <w:rPr>
      <w:kern w:val="0"/>
      <w:sz w:val="20"/>
      <w:szCs w:val="20"/>
    </w:rPr>
  </w:style>
  <w:style w:type="paragraph" w:styleId="3">
    <w:name w:val="Body Text 2"/>
    <w:basedOn w:val="1"/>
    <w:next w:val="2"/>
    <w:qFormat/>
    <w:uiPriority w:val="0"/>
    <w:rPr>
      <w:rFonts w:ascii="黑体" w:hAnsi="黑体" w:eastAsia="仿宋_GB2312" w:cs="黑体"/>
      <w:color w:val="993366"/>
      <w:kern w:val="1"/>
      <w:sz w:val="24"/>
    </w:rPr>
  </w:style>
  <w:style w:type="paragraph" w:styleId="11">
    <w:name w:val="Normal Indent"/>
    <w:basedOn w:val="1"/>
    <w:qFormat/>
    <w:uiPriority w:val="0"/>
    <w:pPr>
      <w:ind w:firstLine="420"/>
    </w:pPr>
  </w:style>
  <w:style w:type="paragraph" w:styleId="12">
    <w:name w:val="toa heading"/>
    <w:basedOn w:val="1"/>
    <w:next w:val="1"/>
    <w:qFormat/>
    <w:uiPriority w:val="0"/>
    <w:pPr>
      <w:spacing w:before="120" w:beforeAutospacing="0" w:afterAutospacing="0"/>
    </w:pPr>
    <w:rPr>
      <w:rFonts w:ascii="Cambria" w:hAnsi="Cambria"/>
      <w:color w:val="000000"/>
      <w:sz w:val="24"/>
    </w:rPr>
  </w:style>
  <w:style w:type="paragraph" w:styleId="13">
    <w:name w:val="Body Text Indent"/>
    <w:basedOn w:val="1"/>
    <w:next w:val="14"/>
    <w:qFormat/>
    <w:uiPriority w:val="0"/>
    <w:pPr>
      <w:spacing w:beforeAutospacing="0" w:after="120" w:afterAutospacing="0"/>
      <w:ind w:left="420" w:leftChars="200"/>
    </w:pPr>
    <w:rPr>
      <w:szCs w:val="20"/>
    </w:rPr>
  </w:style>
  <w:style w:type="paragraph" w:styleId="14">
    <w:name w:val="envelope return"/>
    <w:basedOn w:val="1"/>
    <w:unhideWhenUsed/>
    <w:qFormat/>
    <w:uiPriority w:val="99"/>
    <w:pPr>
      <w:snapToGrid w:val="0"/>
    </w:pPr>
    <w:rPr>
      <w:rFonts w:ascii="Arial" w:hAnsi="Arial"/>
    </w:rPr>
  </w:style>
  <w:style w:type="paragraph" w:styleId="15">
    <w:name w:val="toc 3"/>
    <w:basedOn w:val="1"/>
    <w:next w:val="1"/>
    <w:qFormat/>
    <w:uiPriority w:val="39"/>
    <w:pPr>
      <w:ind w:left="420"/>
      <w:jc w:val="left"/>
    </w:pPr>
    <w:rPr>
      <w:rFonts w:ascii="Calibri" w:hAnsi="Calibri"/>
      <w:i/>
      <w:iCs/>
      <w:sz w:val="20"/>
      <w:szCs w:val="20"/>
    </w:rPr>
  </w:style>
  <w:style w:type="paragraph" w:styleId="16">
    <w:name w:val="Plain Text"/>
    <w:basedOn w:val="1"/>
    <w:qFormat/>
    <w:uiPriority w:val="0"/>
    <w:rPr>
      <w:rFonts w:ascii="宋体" w:hAnsi="Courier New"/>
      <w:szCs w:val="21"/>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beforeAutospacing="0" w:after="120" w:afterAutospacing="0"/>
      <w:jc w:val="left"/>
    </w:pPr>
    <w:rPr>
      <w:rFonts w:ascii="Calibri" w:hAnsi="Calibri"/>
      <w:b/>
      <w:bCs/>
      <w:caps/>
      <w:sz w:val="20"/>
      <w:szCs w:val="20"/>
    </w:rPr>
  </w:style>
  <w:style w:type="paragraph" w:styleId="20">
    <w:name w:val="footnote text"/>
    <w:basedOn w:val="1"/>
    <w:qFormat/>
    <w:uiPriority w:val="0"/>
    <w:pPr>
      <w:snapToGrid w:val="0"/>
      <w:jc w:val="left"/>
    </w:pPr>
    <w:rPr>
      <w:sz w:val="18"/>
      <w:szCs w:val="18"/>
    </w:rPr>
  </w:style>
  <w:style w:type="paragraph" w:styleId="21">
    <w:name w:val="toc 2"/>
    <w:basedOn w:val="1"/>
    <w:next w:val="1"/>
    <w:qFormat/>
    <w:uiPriority w:val="39"/>
    <w:pPr>
      <w:ind w:left="210"/>
      <w:jc w:val="left"/>
    </w:pPr>
    <w:rPr>
      <w:rFonts w:ascii="Calibri" w:hAnsi="Calibri"/>
      <w:smallCaps/>
      <w:sz w:val="20"/>
      <w:szCs w:val="20"/>
    </w:rPr>
  </w:style>
  <w:style w:type="paragraph" w:styleId="22">
    <w:name w:val="HTML Preformatted"/>
    <w:basedOn w:val="1"/>
    <w:qFormat/>
    <w:uiPriority w:val="0"/>
    <w:rPr>
      <w:rFonts w:ascii="Courier New" w:hAnsi="Courier New"/>
      <w:sz w:val="20"/>
    </w:rPr>
  </w:style>
  <w:style w:type="paragraph" w:styleId="23">
    <w:name w:val="Normal (Web)"/>
    <w:basedOn w:val="1"/>
    <w:unhideWhenUsed/>
    <w:qFormat/>
    <w:uiPriority w:val="99"/>
    <w:pPr>
      <w:spacing w:before="100" w:beforeAutospacing="1" w:after="100" w:afterAutospacing="1"/>
      <w:jc w:val="left"/>
    </w:pPr>
    <w:rPr>
      <w:rFonts w:ascii="宋体" w:hAnsi="宋体" w:cs="宋体"/>
      <w:kern w:val="0"/>
      <w:sz w:val="24"/>
    </w:rPr>
  </w:style>
  <w:style w:type="paragraph" w:styleId="24">
    <w:name w:val="Body Text First Indent"/>
    <w:basedOn w:val="2"/>
    <w:next w:val="25"/>
    <w:unhideWhenUsed/>
    <w:qFormat/>
    <w:uiPriority w:val="99"/>
    <w:pPr>
      <w:spacing w:beforeAutospacing="0" w:afterAutospacing="0" w:line="240" w:lineRule="auto"/>
      <w:ind w:firstLine="420"/>
    </w:pPr>
    <w:rPr>
      <w:rFonts w:eastAsia="楷体_GB2312"/>
      <w:sz w:val="32"/>
    </w:rPr>
  </w:style>
  <w:style w:type="paragraph" w:styleId="25">
    <w:name w:val="Body Text First Indent 2"/>
    <w:basedOn w:val="13"/>
    <w:next w:val="1"/>
    <w:qFormat/>
    <w:uiPriority w:val="99"/>
    <w:pPr>
      <w:ind w:firstLine="420" w:firstLineChars="200"/>
    </w:pPr>
    <w:rPr>
      <w:kern w:val="0"/>
      <w:szCs w:val="20"/>
    </w:rPr>
  </w:style>
  <w:style w:type="character" w:styleId="28">
    <w:name w:val="Strong"/>
    <w:qFormat/>
    <w:uiPriority w:val="22"/>
    <w:rPr>
      <w:b/>
    </w:rPr>
  </w:style>
  <w:style w:type="character" w:styleId="29">
    <w:name w:val="Hyperlink"/>
    <w:basedOn w:val="27"/>
    <w:qFormat/>
    <w:uiPriority w:val="0"/>
    <w:rPr>
      <w:color w:val="0000FF"/>
      <w:u w:val="single"/>
    </w:rPr>
  </w:style>
  <w:style w:type="paragraph" w:customStyle="1" w:styleId="30">
    <w:name w:val="正文1"/>
    <w:basedOn w:val="1"/>
    <w:next w:val="24"/>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31">
    <w:name w:val="Default"/>
    <w:next w:val="1"/>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rPr>
  </w:style>
  <w:style w:type="paragraph" w:customStyle="1" w:styleId="32">
    <w:name w:val="style4"/>
    <w:basedOn w:val="33"/>
    <w:qFormat/>
    <w:uiPriority w:val="0"/>
    <w:pPr>
      <w:spacing w:before="280" w:beforeAutospacing="0" w:after="280" w:afterAutospacing="0" w:line="240" w:lineRule="auto"/>
      <w:ind w:left="0" w:firstLine="0"/>
      <w:jc w:val="both"/>
    </w:pPr>
    <w:rPr>
      <w:rFonts w:ascii="宋体" w:eastAsia="宋体"/>
      <w:sz w:val="18"/>
    </w:rPr>
  </w:style>
  <w:style w:type="paragraph" w:customStyle="1" w:styleId="33">
    <w:name w:val="Normal"/>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34">
    <w:name w:val="Body Text"/>
    <w:basedOn w:val="33"/>
    <w:qFormat/>
    <w:uiPriority w:val="0"/>
    <w:pPr>
      <w:spacing w:beforeAutospacing="0" w:after="120" w:afterAutospacing="0"/>
    </w:pPr>
    <w:rPr>
      <w:kern w:val="0"/>
      <w:sz w:val="20"/>
      <w:szCs w:val="20"/>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
    <w:name w:val="无间隔1"/>
    <w:qFormat/>
    <w:uiPriority w:val="0"/>
    <w:pPr>
      <w:widowControl w:val="0"/>
      <w:jc w:val="both"/>
    </w:pPr>
    <w:rPr>
      <w:rFonts w:ascii="Calibri" w:hAnsi="Calibri" w:eastAsia="宋体" w:cs="Times New Roman"/>
      <w:kern w:val="2"/>
      <w:sz w:val="21"/>
      <w:lang w:val="en-US" w:eastAsia="zh-CN" w:bidi="ar-SA"/>
    </w:rPr>
  </w:style>
  <w:style w:type="paragraph" w:customStyle="1" w:styleId="37">
    <w:name w:val="列出段落2"/>
    <w:basedOn w:val="1"/>
    <w:qFormat/>
    <w:uiPriority w:val="99"/>
    <w:pPr>
      <w:ind w:firstLine="420" w:firstLineChars="200"/>
    </w:pPr>
  </w:style>
  <w:style w:type="paragraph" w:customStyle="1" w:styleId="38">
    <w:name w:val="Table Paragraph"/>
    <w:basedOn w:val="1"/>
    <w:qFormat/>
    <w:uiPriority w:val="1"/>
  </w:style>
  <w:style w:type="paragraph" w:customStyle="1" w:styleId="39">
    <w:name w:val="Main Title"/>
    <w:qFormat/>
    <w:uiPriority w:val="0"/>
    <w:pPr>
      <w:adjustRightInd w:val="0"/>
      <w:snapToGrid w:val="0"/>
      <w:spacing w:beforeAutospacing="0" w:afterLines="50" w:afterAutospacing="0" w:line="360" w:lineRule="auto"/>
      <w:jc w:val="center"/>
    </w:pPr>
    <w:rPr>
      <w:rFonts w:ascii="黑体" w:hAnsi="黑体" w:eastAsia="黑体" w:cs="Times New Roman"/>
      <w:b/>
      <w:kern w:val="2"/>
      <w:sz w:val="36"/>
      <w:szCs w:val="22"/>
      <w:lang w:val="zh-CN" w:eastAsia="zh-CN" w:bidi="ar-SA"/>
    </w:rPr>
  </w:style>
  <w:style w:type="paragraph" w:customStyle="1" w:styleId="40">
    <w:name w:val="TOC 标题2"/>
    <w:basedOn w:val="4"/>
    <w:qFormat/>
    <w:uiPriority w:val="0"/>
    <w:pPr>
      <w:widowControl w:val="0"/>
      <w:adjustRightInd/>
      <w:spacing w:before="260" w:beforeAutospacing="0" w:after="260" w:afterAutospacing="0" w:line="413" w:lineRule="auto"/>
    </w:pPr>
    <w:rPr>
      <w:rFonts w:ascii="宋体" w:hAnsi="宋体" w:eastAsia="宋体" w:cs="Times New Roman"/>
      <w:sz w:val="36"/>
      <w:szCs w:val="44"/>
      <w:lang w:val="zh-CN"/>
    </w:rPr>
  </w:style>
  <w:style w:type="paragraph" w:customStyle="1" w:styleId="41">
    <w:name w:val="协议书标题2"/>
    <w:basedOn w:val="5"/>
    <w:qFormat/>
    <w:uiPriority w:val="0"/>
    <w:pPr>
      <w:keepNext w:val="0"/>
      <w:keepLines w:val="0"/>
      <w:numPr>
        <w:ilvl w:val="0"/>
        <w:numId w:val="1"/>
      </w:numPr>
      <w:tabs>
        <w:tab w:val="left" w:pos="567"/>
      </w:tabs>
      <w:spacing w:beforeAutospacing="0" w:afterAutospacing="0" w:line="360" w:lineRule="auto"/>
      <w:ind w:firstLine="0" w:firstLineChars="0"/>
      <w:jc w:val="left"/>
    </w:pPr>
    <w:rPr>
      <w:rFonts w:ascii="宋体" w:hAnsi="宋体" w:eastAsia="宋体"/>
      <w:sz w:val="24"/>
    </w:rPr>
  </w:style>
  <w:style w:type="paragraph" w:customStyle="1" w:styleId="42">
    <w:name w:val="table"/>
    <w:qFormat/>
    <w:uiPriority w:val="0"/>
    <w:pPr>
      <w:framePr w:hSpace="180" w:wrap="around" w:vAnchor="text" w:hAnchor="margin" w:y="1417"/>
      <w:adjustRightInd w:val="0"/>
      <w:snapToGrid w:val="0"/>
    </w:pPr>
    <w:rPr>
      <w:rFonts w:ascii="宋体" w:hAnsi="Calibri" w:eastAsia="宋体" w:cs="Times New Roman"/>
      <w:kern w:val="2"/>
      <w:sz w:val="24"/>
      <w:szCs w:val="22"/>
      <w:lang w:val="en-US" w:eastAsia="zh-CN" w:bidi="ar-SA"/>
    </w:rPr>
  </w:style>
  <w:style w:type="paragraph" w:customStyle="1" w:styleId="43">
    <w:name w:val="通用标题2"/>
    <w:basedOn w:val="5"/>
    <w:qFormat/>
    <w:uiPriority w:val="0"/>
    <w:pPr>
      <w:keepNext w:val="0"/>
      <w:keepLines w:val="0"/>
      <w:numPr>
        <w:ilvl w:val="0"/>
        <w:numId w:val="2"/>
      </w:numPr>
      <w:tabs>
        <w:tab w:val="left" w:pos="993"/>
      </w:tabs>
      <w:spacing w:beforeAutospacing="0" w:afterAutospacing="0" w:line="360" w:lineRule="auto"/>
      <w:ind w:firstLineChars="0"/>
    </w:pPr>
    <w:rPr>
      <w:rFonts w:ascii="黑体" w:hAnsi="黑体"/>
    </w:rPr>
  </w:style>
  <w:style w:type="paragraph" w:customStyle="1" w:styleId="44">
    <w:name w:val="专用标题2"/>
    <w:basedOn w:val="5"/>
    <w:qFormat/>
    <w:uiPriority w:val="0"/>
    <w:pPr>
      <w:keepNext w:val="0"/>
      <w:keepLines w:val="0"/>
      <w:tabs>
        <w:tab w:val="left" w:pos="993"/>
      </w:tabs>
      <w:topLinePunct w:val="0"/>
      <w:spacing w:beforeAutospacing="0" w:afterAutospacing="0" w:line="360" w:lineRule="auto"/>
      <w:ind w:firstLine="0" w:firstLineChars="0"/>
    </w:pPr>
    <w:rPr>
      <w:rFonts w:ascii="宋体" w:hAnsi="宋体" w:eastAsia="宋体" w:cs="Times"/>
    </w:rPr>
  </w:style>
  <w:style w:type="paragraph" w:customStyle="1" w:styleId="45">
    <w:name w:val="附件标题"/>
    <w:basedOn w:val="5"/>
    <w:qFormat/>
    <w:uiPriority w:val="0"/>
    <w:pPr>
      <w:numPr>
        <w:ilvl w:val="0"/>
        <w:numId w:val="3"/>
      </w:numPr>
      <w:tabs>
        <w:tab w:val="left" w:pos="1134"/>
      </w:tabs>
      <w:spacing w:beforeAutospacing="0" w:afterAutospacing="0" w:line="360" w:lineRule="auto"/>
      <w:ind w:firstLine="0" w:firstLineChars="0"/>
      <w:jc w:val="center"/>
    </w:pPr>
    <w:rPr>
      <w:rFonts w:ascii="黑体" w:hAnsi="黑体"/>
      <w:sz w:val="30"/>
      <w:szCs w:val="30"/>
    </w:rPr>
  </w:style>
  <w:style w:type="character" w:customStyle="1" w:styleId="46">
    <w:name w:val="标题 1 Char"/>
    <w:link w:val="4"/>
    <w:qFormat/>
    <w:uiPriority w:val="0"/>
    <w:rPr>
      <w:b/>
      <w:bCs/>
      <w:kern w:val="44"/>
      <w:sz w:val="44"/>
      <w:szCs w:val="44"/>
    </w:rPr>
  </w:style>
  <w:style w:type="paragraph" w:styleId="4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32254</Words>
  <Characters>35066</Characters>
  <Lines>0</Lines>
  <Paragraphs>0</Paragraphs>
  <TotalTime>0</TotalTime>
  <ScaleCrop>false</ScaleCrop>
  <LinksUpToDate>false</LinksUpToDate>
  <CharactersWithSpaces>48316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2021-11-10T07:47:00Z</dcterms:created>
  <dc:creator>admin</dc:creator>
  <cp:lastModifiedBy>Somier</cp:lastModifiedBy>
  <dcterms:modified xsi:type="dcterms:W3CDTF">2023-03-24T01:53:14Z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1DBEAA45CDAC400D8CF23EEC86F06AF4</vt:lpwstr>
  </property>
</Properties>
</file>